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DC" w:rsidRDefault="00FB31C7" w:rsidP="00FB31C7">
      <w:pPr>
        <w:rPr>
          <w:rFonts w:eastAsia="Times New Roman" w:cs="Arial"/>
          <w:b/>
          <w:sz w:val="24"/>
          <w:szCs w:val="24"/>
          <w:lang w:eastAsia="ar-SA"/>
        </w:rPr>
      </w:pPr>
      <w:r w:rsidRPr="00FB31C7">
        <w:rPr>
          <w:rFonts w:eastAsia="Times New Roman" w:cs="Arial"/>
          <w:b/>
          <w:sz w:val="24"/>
          <w:szCs w:val="24"/>
          <w:lang w:eastAsia="ar-SA"/>
        </w:rPr>
        <w:t>Metodyka doboru próby dokumentów do kontroli wniosków o płatność</w:t>
      </w:r>
      <w:r>
        <w:rPr>
          <w:rFonts w:eastAsia="Times New Roman" w:cs="Arial"/>
          <w:b/>
          <w:sz w:val="24"/>
          <w:szCs w:val="24"/>
          <w:lang w:eastAsia="ar-SA"/>
        </w:rPr>
        <w:t xml:space="preserve"> przyjęta Uchwałą Zarządu nr 4752/VI/21 z dnia 29.12.2021 r. </w:t>
      </w:r>
    </w:p>
    <w:p w:rsidR="00FB31C7" w:rsidRPr="00FB31C7" w:rsidRDefault="00FB31C7" w:rsidP="00FB31C7">
      <w:pPr>
        <w:spacing w:after="0" w:line="240" w:lineRule="auto"/>
        <w:rPr>
          <w:rFonts w:cs="Calibri"/>
          <w:color w:val="000000"/>
        </w:rPr>
      </w:pPr>
      <w:r w:rsidRPr="00FB31C7">
        <w:rPr>
          <w:rFonts w:cs="Calibri"/>
          <w:color w:val="000000"/>
        </w:rPr>
        <w:t xml:space="preserve">Przed przystąpieniem do weryfikacji wniosku o płatność osoba weryfikująca jest zobowiązana </w:t>
      </w:r>
      <w:r w:rsidRPr="00FB31C7">
        <w:rPr>
          <w:rFonts w:cs="Calibri"/>
          <w:color w:val="000000"/>
        </w:rPr>
        <w:br/>
        <w:t>do podpisania deklaracji bezstronności. Wniosek o płatność i dane uczestników weryfikowane są co najmniej w zakresie wskazanym w liście sprawdzającej, stanowiącej załącznik do stosownej instrukcji wykonawczej, obowiązującej w instytucji.</w:t>
      </w:r>
    </w:p>
    <w:p w:rsidR="00FB31C7" w:rsidRPr="00FB31C7" w:rsidRDefault="00FB31C7" w:rsidP="00FB31C7">
      <w:pPr>
        <w:spacing w:after="0" w:line="240" w:lineRule="auto"/>
        <w:rPr>
          <w:rFonts w:cs="Calibri"/>
          <w:color w:val="000000"/>
        </w:rPr>
      </w:pPr>
    </w:p>
    <w:p w:rsidR="00FB31C7" w:rsidRPr="00FB31C7" w:rsidRDefault="00FB31C7" w:rsidP="00FB31C7">
      <w:pPr>
        <w:spacing w:after="0" w:line="240" w:lineRule="auto"/>
        <w:rPr>
          <w:rFonts w:cs="Calibri"/>
          <w:color w:val="000000"/>
        </w:rPr>
      </w:pPr>
      <w:r w:rsidRPr="00FB31C7">
        <w:rPr>
          <w:rFonts w:cs="Calibri"/>
          <w:color w:val="000000"/>
        </w:rPr>
        <w:t xml:space="preserve">Weryfikacja wydatków we wniosku o płatność na dokumentach źródłowych obejmuje następującą próbę pozycji: </w:t>
      </w:r>
    </w:p>
    <w:p w:rsidR="00FB31C7" w:rsidRPr="00FB31C7" w:rsidRDefault="00FB31C7" w:rsidP="00FB31C7">
      <w:pPr>
        <w:spacing w:after="0" w:line="240" w:lineRule="auto"/>
        <w:ind w:left="708"/>
        <w:rPr>
          <w:rFonts w:cs="Calibri"/>
          <w:color w:val="000000"/>
        </w:rPr>
      </w:pPr>
      <w:r w:rsidRPr="00FB31C7">
        <w:rPr>
          <w:rFonts w:cs="Calibri"/>
          <w:color w:val="000000"/>
        </w:rPr>
        <w:t xml:space="preserve">a) w przypadku projektów rozliczanych kwotami ryczałtowymi – 100% dokumentów potwierdzających wykonanie zadań objętych kwotą ryczałtową; </w:t>
      </w:r>
    </w:p>
    <w:p w:rsidR="00FB31C7" w:rsidRPr="00FB31C7" w:rsidRDefault="00FB31C7" w:rsidP="00FB31C7">
      <w:pPr>
        <w:spacing w:after="0" w:line="240" w:lineRule="auto"/>
        <w:ind w:left="708"/>
        <w:rPr>
          <w:rFonts w:cs="Calibri"/>
          <w:color w:val="000000"/>
        </w:rPr>
      </w:pPr>
      <w:r w:rsidRPr="00FB31C7">
        <w:rPr>
          <w:rFonts w:cs="Calibri"/>
          <w:color w:val="000000"/>
        </w:rPr>
        <w:t>b) w przypadku projektów rozliczanych stawkami jednostkowymi – 5% rozliczanych we wniosku stawek jednostkowych, przy czym ilość pozycji w próbie stanowi nie mniej niż 3 i nie więcej niż 10 pozycji wykazanych we wniosku, a w przypadku wykazania mniej niż 3 pozycji należy zweryfikować wszystkie pozycje wykazane we wniosku;</w:t>
      </w:r>
    </w:p>
    <w:p w:rsidR="00FB31C7" w:rsidRPr="00FB31C7" w:rsidRDefault="00FB31C7" w:rsidP="00FB31C7">
      <w:pPr>
        <w:spacing w:after="0" w:line="240" w:lineRule="auto"/>
        <w:ind w:left="708"/>
        <w:rPr>
          <w:rFonts w:cs="Calibri"/>
          <w:color w:val="000000"/>
        </w:rPr>
      </w:pPr>
      <w:r w:rsidRPr="00FB31C7">
        <w:rPr>
          <w:rFonts w:cs="Calibri"/>
          <w:color w:val="000000"/>
        </w:rPr>
        <w:t>c) w przypadku projektów rozliczanych na podstawie rzeczywiście poniesionych wydatków – 5% rozliczanych we wniosku pozycji wydatków, przy czym ilość pozycji w próbie stanowi nie mniej niż 3 i nie więcej niż 10 pozycji wykazanych we wniosku, a w przypadku wykazania mniej niż 3 pozycji należy zweryfikować wszystkie pozycje wykazane we wniosku.</w:t>
      </w:r>
    </w:p>
    <w:p w:rsidR="00FB31C7" w:rsidRPr="00FB31C7" w:rsidRDefault="00FB31C7" w:rsidP="00FB31C7">
      <w:pPr>
        <w:spacing w:after="0" w:line="240" w:lineRule="auto"/>
        <w:rPr>
          <w:rFonts w:cs="Calibri"/>
          <w:color w:val="000000"/>
        </w:rPr>
      </w:pPr>
    </w:p>
    <w:p w:rsidR="00FB31C7" w:rsidRPr="00FB31C7" w:rsidRDefault="00FB31C7" w:rsidP="00FB31C7">
      <w:pPr>
        <w:spacing w:after="0" w:line="240" w:lineRule="auto"/>
        <w:rPr>
          <w:rFonts w:cs="Calibri"/>
          <w:color w:val="000000"/>
        </w:rPr>
      </w:pPr>
      <w:r w:rsidRPr="00FB31C7">
        <w:rPr>
          <w:rFonts w:cs="Calibri"/>
          <w:color w:val="000000"/>
        </w:rPr>
        <w:t>Weryfikacja dokumentów w odniesieniu do projektów rozliczanych na podstawie rzeczywiście poniesionych wydatków na etapie weryfikacji wniosku Beneficjenta o płatność może przybrać dwojaką formę:</w:t>
      </w:r>
    </w:p>
    <w:p w:rsidR="00FB31C7" w:rsidRPr="00FB31C7" w:rsidRDefault="00FB31C7" w:rsidP="00FB31C7">
      <w:pPr>
        <w:numPr>
          <w:ilvl w:val="0"/>
          <w:numId w:val="23"/>
        </w:numPr>
        <w:spacing w:after="0" w:line="240" w:lineRule="auto"/>
        <w:contextualSpacing/>
        <w:rPr>
          <w:rFonts w:cs="Calibri"/>
        </w:rPr>
      </w:pPr>
      <w:r w:rsidRPr="00FB31C7">
        <w:rPr>
          <w:rFonts w:cs="Calibri"/>
        </w:rPr>
        <w:t xml:space="preserve">Weryfikacja pogłębiona – kontroli podlegają faktury, rachunki lub dokumenty równoważne wraz </w:t>
      </w:r>
      <w:r w:rsidRPr="00FB31C7">
        <w:rPr>
          <w:rFonts w:cs="Calibri"/>
        </w:rPr>
        <w:br/>
        <w:t xml:space="preserve">z dowodami zapłaty i pozostałe dokumenty źródłowe powiązane z wydatkami, dokumenty dotyczące wyboru wykonawców oraz dokumenty dotyczące kwalifikowalności uczestników według metodologii wskazanej w opisie próby </w:t>
      </w:r>
      <w:r w:rsidR="008C6325" w:rsidRPr="00FB31C7">
        <w:rPr>
          <w:rFonts w:cs="Calibri"/>
        </w:rPr>
        <w:t>pogłębionej</w:t>
      </w:r>
      <w:r w:rsidRPr="00FB31C7">
        <w:rPr>
          <w:rFonts w:cs="Calibri"/>
        </w:rPr>
        <w:t>;</w:t>
      </w:r>
    </w:p>
    <w:p w:rsidR="00FB31C7" w:rsidRPr="00FB31C7" w:rsidRDefault="00FB31C7" w:rsidP="00FB31C7">
      <w:pPr>
        <w:numPr>
          <w:ilvl w:val="0"/>
          <w:numId w:val="23"/>
        </w:numPr>
        <w:spacing w:after="0" w:line="240" w:lineRule="auto"/>
        <w:contextualSpacing/>
        <w:rPr>
          <w:rFonts w:cs="Calibri"/>
        </w:rPr>
      </w:pPr>
      <w:r w:rsidRPr="00FB31C7">
        <w:rPr>
          <w:rFonts w:cs="Calibri"/>
        </w:rPr>
        <w:t xml:space="preserve">Weryfikacja podstawowa – kontroli podlegają faktury, rachunki lub dokumenty równoważne wraz </w:t>
      </w:r>
      <w:r w:rsidRPr="00FB31C7">
        <w:rPr>
          <w:rFonts w:cs="Calibri"/>
        </w:rPr>
        <w:br/>
        <w:t xml:space="preserve">z dowodami zapłaty. </w:t>
      </w:r>
    </w:p>
    <w:p w:rsidR="00FB31C7" w:rsidRPr="00FB31C7" w:rsidRDefault="00FB31C7" w:rsidP="00FB31C7">
      <w:pPr>
        <w:ind w:left="720"/>
        <w:contextualSpacing/>
        <w:rPr>
          <w:rFonts w:cs="Calibri"/>
        </w:rPr>
      </w:pPr>
    </w:p>
    <w:p w:rsidR="00FB31C7" w:rsidRPr="00FB31C7" w:rsidRDefault="00FB31C7" w:rsidP="00FB31C7">
      <w:pPr>
        <w:spacing w:after="0" w:line="240" w:lineRule="auto"/>
        <w:rPr>
          <w:rFonts w:cs="Calibri"/>
        </w:rPr>
      </w:pPr>
      <w:r w:rsidRPr="00FB31C7">
        <w:rPr>
          <w:rFonts w:cs="Calibri"/>
        </w:rPr>
        <w:t>Główne założenia metodyki doboru próby przedstawiono w tabelach poniżej:</w:t>
      </w:r>
    </w:p>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pPr>
      <w:r w:rsidRPr="00FB31C7">
        <w:rPr>
          <w:rFonts w:cs="Calibri"/>
        </w:rPr>
        <w:t xml:space="preserve"> </w:t>
      </w:r>
      <w:r w:rsidRPr="00FB31C7">
        <w:t>DOBÓR PRÓBY DOKUMENTÓW DO KONTROLI WNIOSKÓW O PŁATNOŚĆ (projekty rozliczane kwotami ryczałtowymi):</w:t>
      </w:r>
    </w:p>
    <w:tbl>
      <w:tblPr>
        <w:tblW w:w="0" w:type="auto"/>
        <w:tblInd w:w="40" w:type="dxa"/>
        <w:tblCellMar>
          <w:left w:w="0" w:type="dxa"/>
          <w:right w:w="0" w:type="dxa"/>
        </w:tblCellMar>
        <w:tblLook w:val="04A0" w:firstRow="1" w:lastRow="0" w:firstColumn="1" w:lastColumn="0" w:noHBand="0" w:noVBand="1"/>
      </w:tblPr>
      <w:tblGrid>
        <w:gridCol w:w="3195"/>
        <w:gridCol w:w="2307"/>
        <w:gridCol w:w="4076"/>
      </w:tblGrid>
      <w:tr w:rsidR="00FB31C7" w:rsidRPr="00FB31C7" w:rsidTr="00DD5095">
        <w:trPr>
          <w:trHeight w:val="437"/>
        </w:trPr>
        <w:tc>
          <w:tcPr>
            <w:tcW w:w="319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Populacja (krótki opis)</w:t>
            </w:r>
          </w:p>
        </w:tc>
        <w:tc>
          <w:tcPr>
            <w:tcW w:w="6389"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Weryfikacja wydatków we wniosku o płatność na dokumentach źródłowych w przypadku projektów rozliczanych kwotami ryczałtowymi</w:t>
            </w:r>
          </w:p>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Dobór próby</w:t>
            </w:r>
          </w:p>
        </w:tc>
        <w:tc>
          <w:tcPr>
            <w:tcW w:w="638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p>
        </w:tc>
      </w:tr>
      <w:tr w:rsidR="00FB31C7" w:rsidRPr="00FB31C7" w:rsidTr="00DD5095">
        <w:trPr>
          <w:trHeight w:val="56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Minimalna wielkość próby (%)</w:t>
            </w:r>
          </w:p>
        </w:tc>
        <w:tc>
          <w:tcPr>
            <w:tcW w:w="638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100% dokumentów potwierdzających wykonanie zadań objętych kwotą ryczałtową</w:t>
            </w:r>
          </w:p>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Metoda doboru próby:</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Udział w próbie (%)</w:t>
            </w:r>
          </w:p>
        </w:tc>
      </w:tr>
      <w:tr w:rsidR="00FB31C7" w:rsidRPr="00FB31C7" w:rsidTr="00DD5095">
        <w:trPr>
          <w:trHeight w:val="427"/>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lastRenderedPageBreak/>
              <w:t>•  na podstawie ryzyka</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dobór losowy</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ocena ekspercka</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37"/>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inny (jaki?)</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 xml:space="preserve">[TAK + OPIS / </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bl>
    <w:p w:rsidR="00FB31C7" w:rsidRPr="00FB31C7" w:rsidRDefault="00FB31C7" w:rsidP="00FB31C7"/>
    <w:p w:rsidR="00FB31C7" w:rsidRPr="00FB31C7" w:rsidRDefault="00FB31C7" w:rsidP="00FB31C7">
      <w:r w:rsidRPr="00FB31C7">
        <w:t>DOBÓR PRÓBY DOKUMENTÓW DO KONTROLI WNIOSKÓW O PŁATNOŚĆ (projekty rozliczane stawkami jednostkowymi):</w:t>
      </w:r>
    </w:p>
    <w:tbl>
      <w:tblPr>
        <w:tblW w:w="0" w:type="auto"/>
        <w:tblInd w:w="40" w:type="dxa"/>
        <w:tblCellMar>
          <w:left w:w="0" w:type="dxa"/>
          <w:right w:w="0" w:type="dxa"/>
        </w:tblCellMar>
        <w:tblLook w:val="04A0" w:firstRow="1" w:lastRow="0" w:firstColumn="1" w:lastColumn="0" w:noHBand="0" w:noVBand="1"/>
      </w:tblPr>
      <w:tblGrid>
        <w:gridCol w:w="3194"/>
        <w:gridCol w:w="2307"/>
        <w:gridCol w:w="4077"/>
      </w:tblGrid>
      <w:tr w:rsidR="00FB31C7" w:rsidRPr="00FB31C7" w:rsidTr="00DD5095">
        <w:trPr>
          <w:trHeight w:val="437"/>
        </w:trPr>
        <w:tc>
          <w:tcPr>
            <w:tcW w:w="319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Populacja (krótki opis)</w:t>
            </w:r>
          </w:p>
        </w:tc>
        <w:tc>
          <w:tcPr>
            <w:tcW w:w="6389"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Weryfikacja wydatków we wniosku o płatność na dokumentach źródłowych w przypadku projektów rozliczanych stawkami jednostkowymi</w:t>
            </w:r>
          </w:p>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Dobór próby</w:t>
            </w:r>
          </w:p>
        </w:tc>
        <w:tc>
          <w:tcPr>
            <w:tcW w:w="638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r>
      <w:tr w:rsidR="00FB31C7" w:rsidRPr="00FB31C7" w:rsidTr="00DD5095">
        <w:trPr>
          <w:trHeight w:val="56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Minimalna wielkość próby (%)</w:t>
            </w:r>
          </w:p>
        </w:tc>
        <w:tc>
          <w:tcPr>
            <w:tcW w:w="6389"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5% rozliczanych we wniosku stawek jednostkowych, przy czym ilość pozycji w próbie stanowi nie mniej niż 3 i nie więcej niż 10 pozycji wykazanych we wniosku, a w przypadku wykazania mniej niż 3 pozycji należy zweryfikować wszystkie pozycje wykazane we wniosku</w:t>
            </w:r>
          </w:p>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Metoda doboru próby:</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Udział w próbie (%)</w:t>
            </w:r>
          </w:p>
        </w:tc>
      </w:tr>
      <w:tr w:rsidR="00FB31C7" w:rsidRPr="00FB31C7" w:rsidTr="00DD5095">
        <w:trPr>
          <w:trHeight w:val="427"/>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na podstawie ryzyka</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dobór losowy</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5% rozliczanych we wniosku stawek jednostkowych, przy czym ilość pozycji w próbie stanowi nie mniej niż 3 i nie więcej niż 10 pozycji wykazanych we wniosku, a w przypadku wykazania mniej niż 3 pozycji należy zweryfikować wszystkie pozycje wykazane we wniosku</w:t>
            </w:r>
          </w:p>
        </w:tc>
      </w:tr>
      <w:tr w:rsidR="00FB31C7" w:rsidRPr="00FB31C7" w:rsidTr="00DD5095">
        <w:trPr>
          <w:trHeight w:val="422"/>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ocena ekspercka</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37"/>
        </w:trPr>
        <w:tc>
          <w:tcPr>
            <w:tcW w:w="319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inny (jaki?)</w:t>
            </w:r>
          </w:p>
        </w:tc>
        <w:tc>
          <w:tcPr>
            <w:tcW w:w="23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 xml:space="preserve">[TAK + OPIS / </w:t>
            </w:r>
            <w:r w:rsidRPr="00FB31C7">
              <w:rPr>
                <w:u w:val="single"/>
              </w:rPr>
              <w:t>NIE</w:t>
            </w:r>
            <w:r w:rsidRPr="00FB31C7">
              <w:t>]</w:t>
            </w:r>
          </w:p>
        </w:tc>
        <w:tc>
          <w:tcPr>
            <w:tcW w:w="408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bl>
    <w:p w:rsidR="00FB31C7" w:rsidRPr="00FB31C7" w:rsidRDefault="00FB31C7" w:rsidP="00FB31C7"/>
    <w:p w:rsidR="00FB31C7" w:rsidRPr="00FB31C7" w:rsidRDefault="00FB31C7" w:rsidP="00FB31C7">
      <w:r w:rsidRPr="00FB31C7">
        <w:t>DOBÓR PRÓBY DOKUMENTÓW DO KONTROLI WNIOSKÓW O PŁATNOŚĆ :</w:t>
      </w:r>
    </w:p>
    <w:tbl>
      <w:tblPr>
        <w:tblW w:w="0" w:type="auto"/>
        <w:tblInd w:w="40" w:type="dxa"/>
        <w:tblCellMar>
          <w:left w:w="0" w:type="dxa"/>
          <w:right w:w="0" w:type="dxa"/>
        </w:tblCellMar>
        <w:tblLook w:val="04A0" w:firstRow="1" w:lastRow="0" w:firstColumn="1" w:lastColumn="0" w:noHBand="0" w:noVBand="1"/>
      </w:tblPr>
      <w:tblGrid>
        <w:gridCol w:w="3195"/>
        <w:gridCol w:w="2307"/>
        <w:gridCol w:w="4076"/>
      </w:tblGrid>
      <w:tr w:rsidR="00FB31C7" w:rsidRPr="00FB31C7" w:rsidTr="00DD5095">
        <w:trPr>
          <w:trHeight w:val="437"/>
        </w:trPr>
        <w:tc>
          <w:tcPr>
            <w:tcW w:w="319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Populacja (krótki opis)</w:t>
            </w:r>
          </w:p>
        </w:tc>
        <w:tc>
          <w:tcPr>
            <w:tcW w:w="638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rPr>
                <w:rFonts w:cs="Calibri"/>
                <w:color w:val="000000"/>
              </w:rPr>
              <w:t>Weryfikacja wydatków we wniosku o płatność na dokumentach źródłowych w przypadku projektów rozliczanych na podstawie rzeczywiście poniesionych wydatków.</w:t>
            </w:r>
          </w:p>
        </w:tc>
      </w:tr>
      <w:tr w:rsidR="00FB31C7" w:rsidRPr="00FB31C7" w:rsidTr="00DD5095">
        <w:trPr>
          <w:trHeight w:val="422"/>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Dobór próby</w:t>
            </w:r>
          </w:p>
        </w:tc>
        <w:tc>
          <w:tcPr>
            <w:tcW w:w="638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r>
      <w:tr w:rsidR="00FB31C7" w:rsidRPr="00FB31C7" w:rsidTr="00DD5095">
        <w:trPr>
          <w:trHeight w:val="562"/>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Minimalna wielkość próby (%)</w:t>
            </w:r>
          </w:p>
        </w:tc>
        <w:tc>
          <w:tcPr>
            <w:tcW w:w="6383" w:type="dxa"/>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5% rozliczanych we wniosku pozycji wydatków, przy czym ilość pozycji w próbie stanowi nie mniej niż 3 i nie więcej niż 10 pozycji wykazanych we wniosku, a w przypadku wykazania mniej niż 3 pozycji należy zweryfikować wszystkie pozycje wykazane we wniosku</w:t>
            </w:r>
          </w:p>
        </w:tc>
      </w:tr>
      <w:tr w:rsidR="00FB31C7" w:rsidRPr="00FB31C7" w:rsidTr="00DD5095">
        <w:trPr>
          <w:trHeight w:val="422"/>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Metoda doboru próby:</w:t>
            </w:r>
          </w:p>
        </w:tc>
        <w:tc>
          <w:tcPr>
            <w:tcW w:w="2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c>
          <w:tcPr>
            <w:tcW w:w="4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Udział w próbie (%)</w:t>
            </w:r>
          </w:p>
        </w:tc>
      </w:tr>
      <w:tr w:rsidR="00FB31C7" w:rsidRPr="00FB31C7" w:rsidTr="00DD5095">
        <w:trPr>
          <w:trHeight w:val="427"/>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lastRenderedPageBreak/>
              <w:t>•  na podstawie ryzyka</w:t>
            </w:r>
          </w:p>
        </w:tc>
        <w:tc>
          <w:tcPr>
            <w:tcW w:w="2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c>
          <w:tcPr>
            <w:tcW w:w="4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22"/>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dobór losowy</w:t>
            </w:r>
          </w:p>
        </w:tc>
        <w:tc>
          <w:tcPr>
            <w:tcW w:w="2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w:t>
            </w:r>
            <w:r w:rsidRPr="00FB31C7">
              <w:rPr>
                <w:u w:val="single"/>
              </w:rPr>
              <w:t>TAK</w:t>
            </w:r>
            <w:r w:rsidRPr="00FB31C7">
              <w:t>/NIE]</w:t>
            </w:r>
          </w:p>
        </w:tc>
        <w:tc>
          <w:tcPr>
            <w:tcW w:w="4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r w:rsidRPr="00FB31C7">
              <w:t>5% rozliczanych we wniosku pozycji wydatków, przy czym ilość pozycji w próbie stanowi nie mniej niż 3 i nie więcej niż 10 pozycji wykazanych we wniosku, a w przypadku wykazania mniej niż 3 pozycji należy zweryfikować wszystkie pozycje wykazane we wniosku</w:t>
            </w:r>
          </w:p>
        </w:tc>
      </w:tr>
      <w:tr w:rsidR="00FB31C7" w:rsidRPr="00FB31C7" w:rsidTr="00DD5095">
        <w:trPr>
          <w:trHeight w:val="422"/>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ocena ekspercka</w:t>
            </w:r>
          </w:p>
        </w:tc>
        <w:tc>
          <w:tcPr>
            <w:tcW w:w="2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[TAK/</w:t>
            </w:r>
            <w:r w:rsidRPr="00FB31C7">
              <w:rPr>
                <w:u w:val="single"/>
              </w:rPr>
              <w:t>NIE</w:t>
            </w:r>
            <w:r w:rsidRPr="00FB31C7">
              <w:t>]</w:t>
            </w:r>
          </w:p>
        </w:tc>
        <w:tc>
          <w:tcPr>
            <w:tcW w:w="4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r w:rsidR="00FB31C7" w:rsidRPr="00FB31C7" w:rsidTr="00DD5095">
        <w:trPr>
          <w:trHeight w:val="437"/>
        </w:trPr>
        <w:tc>
          <w:tcPr>
            <w:tcW w:w="319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rPr>
                <w:b/>
                <w:bCs/>
              </w:rPr>
              <w:t>•  inny (jaki?)</w:t>
            </w:r>
          </w:p>
        </w:tc>
        <w:tc>
          <w:tcPr>
            <w:tcW w:w="23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FB31C7" w:rsidRPr="00FB31C7" w:rsidRDefault="00FB31C7" w:rsidP="00FB31C7">
            <w:r w:rsidRPr="00FB31C7">
              <w:t xml:space="preserve">[TAK + OPIS / </w:t>
            </w:r>
            <w:r w:rsidRPr="00FB31C7">
              <w:rPr>
                <w:u w:val="single"/>
              </w:rPr>
              <w:t>NIE</w:t>
            </w:r>
            <w:r w:rsidRPr="00FB31C7">
              <w:t>]</w:t>
            </w:r>
          </w:p>
        </w:tc>
        <w:tc>
          <w:tcPr>
            <w:tcW w:w="40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FB31C7" w:rsidRPr="00FB31C7" w:rsidRDefault="00FB31C7" w:rsidP="00FB31C7"/>
        </w:tc>
      </w:tr>
    </w:tbl>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jc w:val="both"/>
      </w:pPr>
      <w:r w:rsidRPr="00FB31C7">
        <w:t>DOBÓR PRÓBY DOKUMENTÓW DO KONTROLI WNIOSKÓW O PŁATNOŚĆ (w</w:t>
      </w:r>
      <w:r w:rsidRPr="00FB31C7">
        <w:rPr>
          <w:color w:val="000000"/>
        </w:rPr>
        <w:t xml:space="preserve">ydatki dotyczące przeprowadzonych zamówień </w:t>
      </w:r>
      <w:r w:rsidR="008C6325" w:rsidRPr="00FB31C7">
        <w:rPr>
          <w:color w:val="000000"/>
        </w:rPr>
        <w:t>udzielanych</w:t>
      </w:r>
      <w:r w:rsidRPr="00FB31C7">
        <w:rPr>
          <w:color w:val="000000"/>
        </w:rPr>
        <w:t xml:space="preserve"> w ramach projektów)</w:t>
      </w:r>
      <w:r w:rsidRPr="00FB31C7">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6"/>
        <w:gridCol w:w="2345"/>
        <w:gridCol w:w="4077"/>
      </w:tblGrid>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Populacja (krótki opis)</w:t>
            </w:r>
          </w:p>
        </w:tc>
        <w:tc>
          <w:tcPr>
            <w:tcW w:w="6519" w:type="dxa"/>
            <w:gridSpan w:val="2"/>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Wydatki dotyczące przeprowadzonych zamówień publicznych będą stanowić część składową próby dokumentacji weryfikowanej na etapie wniosku Beneficjenta o płatność</w:t>
            </w: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Dobór próby</w:t>
            </w:r>
          </w:p>
        </w:tc>
        <w:tc>
          <w:tcPr>
            <w:tcW w:w="6519" w:type="dxa"/>
            <w:gridSpan w:val="2"/>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w:t>
            </w:r>
            <w:r w:rsidRPr="00FB31C7">
              <w:rPr>
                <w:rFonts w:eastAsia="Times New Roman" w:cs="Calibri"/>
                <w:u w:val="single"/>
                <w:lang w:eastAsia="pl-PL"/>
              </w:rPr>
              <w:t>TAK</w:t>
            </w:r>
            <w:r w:rsidRPr="00FB31C7">
              <w:rPr>
                <w:rFonts w:eastAsia="Times New Roman" w:cs="Calibri"/>
                <w:lang w:eastAsia="pl-PL"/>
              </w:rPr>
              <w:t>/NIE]</w:t>
            </w: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Minimalna wielkość próby (%)</w:t>
            </w:r>
          </w:p>
        </w:tc>
        <w:tc>
          <w:tcPr>
            <w:tcW w:w="6519" w:type="dxa"/>
            <w:gridSpan w:val="2"/>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Sprawdzeniu podlega dokumentacja źródłowa dotycząca minimum 5% pozycji wydatków, jednak nie mniej niż 3 i nie więcej niż 10 pozycji wydatków, które zostały wykazane w weryfikowanym wniosku</w:t>
            </w: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Metoda doboru próby:</w:t>
            </w:r>
          </w:p>
        </w:tc>
        <w:tc>
          <w:tcPr>
            <w:tcW w:w="2378" w:type="dxa"/>
            <w:shd w:val="clear" w:color="auto" w:fill="auto"/>
          </w:tcPr>
          <w:p w:rsidR="00FB31C7" w:rsidRPr="00FB31C7" w:rsidRDefault="00FB31C7" w:rsidP="00FB31C7">
            <w:pPr>
              <w:spacing w:after="0" w:line="240" w:lineRule="auto"/>
              <w:jc w:val="both"/>
              <w:rPr>
                <w:rFonts w:cs="Calibri"/>
              </w:rPr>
            </w:pPr>
          </w:p>
        </w:tc>
        <w:tc>
          <w:tcPr>
            <w:tcW w:w="4141"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Udział w próbie (%)</w:t>
            </w: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  na podstawie ryzyka</w:t>
            </w:r>
          </w:p>
        </w:tc>
        <w:tc>
          <w:tcPr>
            <w:tcW w:w="2378" w:type="dxa"/>
            <w:shd w:val="clear" w:color="auto" w:fill="auto"/>
          </w:tcPr>
          <w:p w:rsidR="00FB31C7" w:rsidRPr="00FB31C7" w:rsidRDefault="00FB31C7" w:rsidP="00FB31C7">
            <w:pPr>
              <w:spacing w:after="0" w:line="240" w:lineRule="auto"/>
              <w:jc w:val="both"/>
              <w:rPr>
                <w:rFonts w:cs="Calibri"/>
                <w:color w:val="000000"/>
              </w:rPr>
            </w:pPr>
            <w:r w:rsidRPr="00FB31C7">
              <w:rPr>
                <w:rFonts w:eastAsia="Times New Roman" w:cs="Calibri"/>
                <w:color w:val="000000"/>
                <w:lang w:eastAsia="pl-PL"/>
              </w:rPr>
              <w:t>[</w:t>
            </w:r>
            <w:r w:rsidRPr="00FB31C7">
              <w:rPr>
                <w:rFonts w:eastAsia="Times New Roman" w:cs="Calibri"/>
                <w:color w:val="000000"/>
                <w:u w:val="single"/>
                <w:lang w:eastAsia="pl-PL"/>
              </w:rPr>
              <w:t>TAK</w:t>
            </w:r>
            <w:r w:rsidRPr="00FB31C7">
              <w:rPr>
                <w:rFonts w:eastAsia="Times New Roman" w:cs="Calibri"/>
                <w:color w:val="000000"/>
                <w:lang w:eastAsia="pl-PL"/>
              </w:rPr>
              <w:t>/NIE]</w:t>
            </w:r>
          </w:p>
        </w:tc>
        <w:tc>
          <w:tcPr>
            <w:tcW w:w="4141" w:type="dxa"/>
            <w:shd w:val="clear" w:color="auto" w:fill="auto"/>
          </w:tcPr>
          <w:p w:rsidR="00FB31C7" w:rsidRPr="00FB31C7" w:rsidRDefault="00FB31C7" w:rsidP="00FB31C7">
            <w:pPr>
              <w:spacing w:after="0" w:line="240" w:lineRule="auto"/>
              <w:jc w:val="both"/>
              <w:rPr>
                <w:rFonts w:cs="Calibri"/>
              </w:rPr>
            </w:pP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  dobór losowy</w:t>
            </w:r>
          </w:p>
        </w:tc>
        <w:tc>
          <w:tcPr>
            <w:tcW w:w="2378" w:type="dxa"/>
            <w:shd w:val="clear" w:color="auto" w:fill="auto"/>
          </w:tcPr>
          <w:p w:rsidR="00FB31C7" w:rsidRPr="00FB31C7" w:rsidRDefault="00FB31C7" w:rsidP="00FB31C7">
            <w:pPr>
              <w:spacing w:after="0" w:line="240" w:lineRule="auto"/>
              <w:jc w:val="both"/>
              <w:rPr>
                <w:rFonts w:cs="Calibri"/>
                <w:color w:val="000000"/>
              </w:rPr>
            </w:pPr>
            <w:r w:rsidRPr="00FB31C7">
              <w:rPr>
                <w:rFonts w:eastAsia="Times New Roman" w:cs="Calibri"/>
                <w:color w:val="000000"/>
                <w:lang w:eastAsia="pl-PL"/>
              </w:rPr>
              <w:t>[</w:t>
            </w:r>
            <w:r w:rsidRPr="00FB31C7">
              <w:rPr>
                <w:rFonts w:eastAsia="Times New Roman" w:cs="Calibri"/>
                <w:color w:val="000000"/>
                <w:u w:val="single"/>
                <w:lang w:eastAsia="pl-PL"/>
              </w:rPr>
              <w:t>TAK</w:t>
            </w:r>
            <w:r w:rsidRPr="00FB31C7">
              <w:rPr>
                <w:rFonts w:eastAsia="Times New Roman" w:cs="Calibri"/>
                <w:color w:val="000000"/>
                <w:lang w:eastAsia="pl-PL"/>
              </w:rPr>
              <w:t>/NIE]</w:t>
            </w:r>
          </w:p>
        </w:tc>
        <w:tc>
          <w:tcPr>
            <w:tcW w:w="4141"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minimum 5% pozycji wydatków jednak nie mniej niż 3 i nie więcej niż 10 pozycji wydatków, które zostały wykazane w weryfikowanym wniosku</w:t>
            </w: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  ocena ekspercka</w:t>
            </w:r>
          </w:p>
        </w:tc>
        <w:tc>
          <w:tcPr>
            <w:tcW w:w="2378" w:type="dxa"/>
            <w:shd w:val="clear" w:color="auto" w:fill="auto"/>
          </w:tcPr>
          <w:p w:rsidR="00FB31C7" w:rsidRPr="00FB31C7" w:rsidRDefault="00FB31C7" w:rsidP="00FB31C7">
            <w:pPr>
              <w:spacing w:after="0" w:line="240" w:lineRule="auto"/>
              <w:jc w:val="both"/>
              <w:rPr>
                <w:rFonts w:cs="Calibri"/>
                <w:color w:val="000000"/>
              </w:rPr>
            </w:pPr>
            <w:r w:rsidRPr="00FB31C7">
              <w:rPr>
                <w:rFonts w:eastAsia="Times New Roman" w:cs="Calibri"/>
                <w:color w:val="000000"/>
                <w:lang w:eastAsia="pl-PL"/>
              </w:rPr>
              <w:t>[TAK/</w:t>
            </w:r>
            <w:r w:rsidRPr="00FB31C7">
              <w:rPr>
                <w:rFonts w:eastAsia="Times New Roman" w:cs="Calibri"/>
                <w:color w:val="000000"/>
                <w:u w:val="single"/>
                <w:lang w:eastAsia="pl-PL"/>
              </w:rPr>
              <w:t>NIE</w:t>
            </w:r>
            <w:r w:rsidRPr="00FB31C7">
              <w:rPr>
                <w:rFonts w:eastAsia="Times New Roman" w:cs="Calibri"/>
                <w:color w:val="000000"/>
                <w:lang w:eastAsia="pl-PL"/>
              </w:rPr>
              <w:t>]</w:t>
            </w:r>
          </w:p>
        </w:tc>
        <w:tc>
          <w:tcPr>
            <w:tcW w:w="4141" w:type="dxa"/>
            <w:shd w:val="clear" w:color="auto" w:fill="auto"/>
          </w:tcPr>
          <w:p w:rsidR="00FB31C7" w:rsidRPr="00FB31C7" w:rsidRDefault="00FB31C7" w:rsidP="00FB31C7">
            <w:pPr>
              <w:spacing w:after="0" w:line="240" w:lineRule="auto"/>
              <w:jc w:val="both"/>
              <w:rPr>
                <w:rFonts w:cs="Calibri"/>
              </w:rPr>
            </w:pPr>
          </w:p>
        </w:tc>
      </w:tr>
      <w:tr w:rsidR="00FB31C7" w:rsidRPr="00FB31C7" w:rsidTr="00DD5095">
        <w:tc>
          <w:tcPr>
            <w:tcW w:w="3259" w:type="dxa"/>
            <w:shd w:val="clear" w:color="auto" w:fill="auto"/>
          </w:tcPr>
          <w:p w:rsidR="00FB31C7" w:rsidRPr="00FB31C7" w:rsidRDefault="00FB31C7" w:rsidP="00FB31C7">
            <w:pPr>
              <w:spacing w:after="0" w:line="240" w:lineRule="auto"/>
              <w:jc w:val="both"/>
              <w:rPr>
                <w:rFonts w:cs="Calibri"/>
              </w:rPr>
            </w:pPr>
            <w:r w:rsidRPr="00FB31C7">
              <w:rPr>
                <w:rFonts w:eastAsia="Times New Roman" w:cs="Calibri"/>
                <w:lang w:eastAsia="pl-PL"/>
              </w:rPr>
              <w:t>•  inny (jaki?)</w:t>
            </w:r>
          </w:p>
        </w:tc>
        <w:tc>
          <w:tcPr>
            <w:tcW w:w="2378" w:type="dxa"/>
            <w:shd w:val="clear" w:color="auto" w:fill="auto"/>
          </w:tcPr>
          <w:p w:rsidR="00FB31C7" w:rsidRPr="00FB31C7" w:rsidRDefault="00FB31C7" w:rsidP="00FB31C7">
            <w:pPr>
              <w:spacing w:after="0" w:line="240" w:lineRule="auto"/>
              <w:jc w:val="both"/>
              <w:rPr>
                <w:rFonts w:cs="Calibri"/>
                <w:color w:val="000000"/>
              </w:rPr>
            </w:pPr>
            <w:r w:rsidRPr="00FB31C7">
              <w:rPr>
                <w:rFonts w:eastAsia="Times New Roman" w:cs="Calibri"/>
                <w:color w:val="000000"/>
                <w:lang w:eastAsia="pl-PL"/>
              </w:rPr>
              <w:t xml:space="preserve">[TAK + OPIS / </w:t>
            </w:r>
            <w:r w:rsidRPr="00FB31C7">
              <w:rPr>
                <w:rFonts w:eastAsia="Times New Roman" w:cs="Calibri"/>
                <w:color w:val="000000"/>
                <w:u w:val="single"/>
                <w:lang w:eastAsia="pl-PL"/>
              </w:rPr>
              <w:t>NIE</w:t>
            </w:r>
            <w:r w:rsidRPr="00FB31C7">
              <w:rPr>
                <w:rFonts w:eastAsia="Times New Roman" w:cs="Calibri"/>
                <w:color w:val="000000"/>
                <w:lang w:eastAsia="pl-PL"/>
              </w:rPr>
              <w:t>]</w:t>
            </w:r>
          </w:p>
        </w:tc>
        <w:tc>
          <w:tcPr>
            <w:tcW w:w="4141" w:type="dxa"/>
            <w:shd w:val="clear" w:color="auto" w:fill="auto"/>
          </w:tcPr>
          <w:p w:rsidR="00FB31C7" w:rsidRPr="00FB31C7" w:rsidRDefault="00FB31C7" w:rsidP="00FB31C7">
            <w:pPr>
              <w:spacing w:after="0" w:line="240" w:lineRule="auto"/>
              <w:jc w:val="both"/>
              <w:rPr>
                <w:rFonts w:cs="Calibri"/>
              </w:rPr>
            </w:pPr>
          </w:p>
        </w:tc>
      </w:tr>
    </w:tbl>
    <w:p w:rsidR="00FB31C7" w:rsidRPr="00FB31C7" w:rsidRDefault="00FB31C7" w:rsidP="00FB31C7">
      <w:pPr>
        <w:ind w:left="720"/>
        <w:contextualSpacing/>
        <w:jc w:val="both"/>
        <w:rPr>
          <w:rFonts w:cs="Calibri"/>
        </w:rPr>
      </w:pPr>
    </w:p>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rPr>
          <w:rFonts w:cs="Calibri"/>
        </w:rPr>
      </w:pPr>
      <w:r w:rsidRPr="00FB31C7">
        <w:rPr>
          <w:rFonts w:cs="Calibri"/>
        </w:rPr>
        <w:t>Ad. 1.</w:t>
      </w:r>
    </w:p>
    <w:p w:rsidR="00FB31C7" w:rsidRPr="00FB31C7" w:rsidRDefault="00FB31C7" w:rsidP="00FB31C7">
      <w:pPr>
        <w:spacing w:after="0" w:line="240" w:lineRule="auto"/>
        <w:rPr>
          <w:rFonts w:cs="Calibri"/>
        </w:rPr>
      </w:pPr>
      <w:r w:rsidRPr="00FB31C7">
        <w:rPr>
          <w:rFonts w:cs="Calibri"/>
        </w:rPr>
        <w:t xml:space="preserve">Weryfikacja pogłębiona zostanie zapewniona dla co najmniej dwóch wniosków Beneficjenta </w:t>
      </w:r>
      <w:r w:rsidRPr="00FB31C7">
        <w:rPr>
          <w:rFonts w:cs="Calibri"/>
        </w:rPr>
        <w:br/>
        <w:t xml:space="preserve">o płatność w toku życia projektu. Weryfikacja zostanie przeprowadzona dla wybranych losowo wg osądu eksperckiego wniosków o płatność. W przypadku projektów wieloletnich, których wartość dofinansowania przekracza 10 mln PLN należy zapewnić weryfikację na próbie dokumentów źródłowych co najmniej jednego wniosku w roku obrachunkowym, rozumianego jako wniosek przekazany do zatwierdzenia </w:t>
      </w:r>
      <w:r w:rsidRPr="00FB31C7">
        <w:rPr>
          <w:rFonts w:cs="Calibri"/>
        </w:rPr>
        <w:br/>
        <w:t xml:space="preserve">w danym roku obrachunkowym. Wniosek, na którym będzie przeprowadzona analiza pogłębiona, powinien być dobrany z uwzględnieniem stosownego postępu rzeczowego i finansowego realizacji projektu oraz </w:t>
      </w:r>
      <w:r w:rsidRPr="00FB31C7">
        <w:rPr>
          <w:rFonts w:cs="Calibri"/>
        </w:rPr>
        <w:br/>
        <w:t>z uwzględnieniem wydatków objętych procedurami wyboru wykonawcy.</w:t>
      </w:r>
      <w:r w:rsidRPr="00FB31C7">
        <w:rPr>
          <w:rFonts w:cs="Calibri"/>
          <w:sz w:val="24"/>
          <w:szCs w:val="24"/>
        </w:rPr>
        <w:t xml:space="preserve"> </w:t>
      </w:r>
      <w:r w:rsidRPr="00FB31C7">
        <w:rPr>
          <w:rFonts w:cs="Calibri"/>
        </w:rPr>
        <w:t>Doboru zarówno wniosku do weryfikacji pogłębionej, jak i próby dokumentów będzie dokonywał pracownik na Stanowisku ds. Obsługi Projektów, nadzorowany bezpośrednio przez właściwego Zastępcę Kierownika oraz następnie przez Kierownika Wydziału. Próba wydatków w przypadku projektów rozliczanych na podstawie rzeczywiście poniesionych wydatków oparta jest na dwustopniowej zasadzie doboru próby: analizie ryzyka i uzupełniona o dobór losowy. Obejmuje wydatki wybrane metodą osądu eksperckiego z obszarów ryzykownych wskazanych poniżej oraz wydatki wybrane metodą losową. Dobór próby metodami niestatystycznymi będzie bazować na doświadczeniu w zakresie weryfikacji oraz wiedzy w obszarze objętym kontrolą</w:t>
      </w:r>
      <w:r w:rsidRPr="00FB31C7">
        <w:rPr>
          <w:rFonts w:cs="Calibri"/>
        </w:rPr>
        <w:br/>
        <w:t xml:space="preserve"> i uwzględniał będzie poziom ryzykowności zadań i poszczególnych wydatków.</w:t>
      </w:r>
    </w:p>
    <w:p w:rsidR="00FB31C7" w:rsidRPr="00FB31C7" w:rsidRDefault="00FB31C7" w:rsidP="00FB31C7">
      <w:pPr>
        <w:spacing w:after="0" w:line="240" w:lineRule="auto"/>
        <w:rPr>
          <w:rFonts w:cs="Calibri"/>
        </w:rPr>
      </w:pPr>
    </w:p>
    <w:p w:rsidR="00FB31C7" w:rsidRDefault="00FB31C7" w:rsidP="00FB31C7">
      <w:pPr>
        <w:spacing w:after="0" w:line="240" w:lineRule="auto"/>
        <w:rPr>
          <w:rFonts w:cs="Calibri"/>
        </w:rPr>
      </w:pPr>
    </w:p>
    <w:p w:rsidR="00595953" w:rsidRPr="00FB31C7" w:rsidRDefault="00595953" w:rsidP="00FB31C7">
      <w:pPr>
        <w:spacing w:after="0" w:line="240" w:lineRule="auto"/>
        <w:rPr>
          <w:rFonts w:cs="Calibri"/>
        </w:rPr>
      </w:pPr>
    </w:p>
    <w:p w:rsidR="00FB31C7" w:rsidRPr="00FB31C7" w:rsidRDefault="00FB31C7" w:rsidP="00FB31C7">
      <w:pPr>
        <w:spacing w:after="0" w:line="240" w:lineRule="auto"/>
        <w:rPr>
          <w:rFonts w:cs="Calibri"/>
        </w:rPr>
      </w:pPr>
      <w:r w:rsidRPr="00FB31C7">
        <w:rPr>
          <w:rFonts w:cs="Calibri"/>
        </w:rPr>
        <w:lastRenderedPageBreak/>
        <w:t>Próba będzie uwzględniać w szczególności dokumenty z następujących obszarów:</w:t>
      </w:r>
    </w:p>
    <w:p w:rsidR="00FB31C7" w:rsidRPr="00FB31C7" w:rsidRDefault="00FB31C7" w:rsidP="00FB31C7">
      <w:pPr>
        <w:numPr>
          <w:ilvl w:val="0"/>
          <w:numId w:val="24"/>
        </w:numPr>
        <w:spacing w:after="0" w:line="240" w:lineRule="auto"/>
        <w:contextualSpacing/>
        <w:rPr>
          <w:rFonts w:cs="Calibri"/>
        </w:rPr>
      </w:pPr>
      <w:r w:rsidRPr="00FB31C7">
        <w:rPr>
          <w:rFonts w:cs="Calibri"/>
        </w:rPr>
        <w:t>Angażowanie personelu projektu</w:t>
      </w:r>
    </w:p>
    <w:p w:rsidR="00FB31C7" w:rsidRPr="00FB31C7" w:rsidRDefault="00FB31C7" w:rsidP="00FB31C7">
      <w:pPr>
        <w:numPr>
          <w:ilvl w:val="0"/>
          <w:numId w:val="24"/>
        </w:numPr>
        <w:spacing w:after="0" w:line="240" w:lineRule="auto"/>
        <w:contextualSpacing/>
        <w:rPr>
          <w:rFonts w:cs="Calibri"/>
        </w:rPr>
      </w:pPr>
      <w:r w:rsidRPr="00FB31C7">
        <w:rPr>
          <w:rFonts w:cs="Calibri"/>
        </w:rPr>
        <w:t>Udzielanie zamówień publicznych o wartości powyżej 50 000 PLN netto, m.in. w kontekście stosowania konkurencyjnych procedur o których mowa w Wytycznych w zakresie kwalifikowalności wydatków w ramach EFRR, EFS oraz Funduszu Spójności na lata 2014-2020 oraz udzielanie zamówień publicznych o wartości</w:t>
      </w:r>
      <w:r>
        <w:rPr>
          <w:rFonts w:cs="Calibri"/>
        </w:rPr>
        <w:t xml:space="preserve"> </w:t>
      </w:r>
      <w:r w:rsidRPr="00FB31C7">
        <w:rPr>
          <w:rFonts w:cs="Calibri"/>
        </w:rPr>
        <w:t>od której istnieje o</w:t>
      </w:r>
      <w:r>
        <w:rPr>
          <w:rFonts w:cs="Calibri"/>
        </w:rPr>
        <w:t xml:space="preserve">bowiązek stosowania ustawy </w:t>
      </w:r>
      <w:proofErr w:type="spellStart"/>
      <w:r>
        <w:rPr>
          <w:rFonts w:cs="Calibri"/>
        </w:rPr>
        <w:t>Pzp</w:t>
      </w:r>
      <w:proofErr w:type="spellEnd"/>
      <w:r>
        <w:rPr>
          <w:rFonts w:cs="Calibri"/>
        </w:rPr>
        <w:t>.</w:t>
      </w:r>
      <w:r w:rsidRPr="00FB31C7">
        <w:rPr>
          <w:rFonts w:cs="Calibri"/>
        </w:rPr>
        <w:t>;</w:t>
      </w:r>
    </w:p>
    <w:p w:rsidR="00FB31C7" w:rsidRPr="00FB31C7" w:rsidRDefault="00FB31C7" w:rsidP="00FB31C7">
      <w:pPr>
        <w:numPr>
          <w:ilvl w:val="0"/>
          <w:numId w:val="24"/>
        </w:numPr>
        <w:spacing w:after="0" w:line="240" w:lineRule="auto"/>
        <w:contextualSpacing/>
        <w:rPr>
          <w:rFonts w:cs="Calibri"/>
        </w:rPr>
      </w:pPr>
      <w:r w:rsidRPr="00FB31C7">
        <w:rPr>
          <w:rFonts w:cs="Calibri"/>
        </w:rPr>
        <w:t xml:space="preserve">Udzielanie zamówień publicznych o wartości równej lub przekraczającej progi </w:t>
      </w:r>
      <w:r>
        <w:rPr>
          <w:rFonts w:cs="Calibri"/>
        </w:rPr>
        <w:t xml:space="preserve">unijne w rozumieniu art. 3 </w:t>
      </w:r>
      <w:proofErr w:type="spellStart"/>
      <w:r>
        <w:rPr>
          <w:rFonts w:cs="Calibri"/>
        </w:rPr>
        <w:t>Pzp</w:t>
      </w:r>
      <w:proofErr w:type="spellEnd"/>
      <w:r>
        <w:rPr>
          <w:rFonts w:cs="Calibri"/>
        </w:rPr>
        <w:t>.</w:t>
      </w:r>
      <w:r w:rsidRPr="00FB31C7">
        <w:rPr>
          <w:rFonts w:cs="Calibri"/>
        </w:rPr>
        <w:t>;</w:t>
      </w:r>
    </w:p>
    <w:p w:rsidR="00FB31C7" w:rsidRPr="00FB31C7" w:rsidRDefault="00FB31C7" w:rsidP="00FB31C7">
      <w:pPr>
        <w:numPr>
          <w:ilvl w:val="0"/>
          <w:numId w:val="24"/>
        </w:numPr>
        <w:spacing w:after="0" w:line="240" w:lineRule="auto"/>
        <w:contextualSpacing/>
        <w:rPr>
          <w:rFonts w:cs="Calibri"/>
        </w:rPr>
      </w:pPr>
      <w:r w:rsidRPr="00FB31C7">
        <w:rPr>
          <w:rFonts w:cs="Calibri"/>
        </w:rPr>
        <w:t>Wykonanie produktów / opracowań / ekspertyz na rzecz projektu, w szczególności powstałych jako efekty umów cywilnoprawnych zawartych w projekcie;</w:t>
      </w:r>
    </w:p>
    <w:p w:rsidR="00FB31C7" w:rsidRPr="00FB31C7" w:rsidRDefault="00FB31C7" w:rsidP="00FB31C7">
      <w:pPr>
        <w:numPr>
          <w:ilvl w:val="0"/>
          <w:numId w:val="24"/>
        </w:numPr>
        <w:spacing w:after="0" w:line="240" w:lineRule="auto"/>
        <w:contextualSpacing/>
        <w:jc w:val="both"/>
        <w:rPr>
          <w:rFonts w:cs="Calibri"/>
        </w:rPr>
      </w:pPr>
      <w:r w:rsidRPr="00FB31C7">
        <w:rPr>
          <w:rFonts w:cs="Calibri"/>
        </w:rPr>
        <w:t>Kwalifikowalność uczestników projektu.</w:t>
      </w:r>
    </w:p>
    <w:p w:rsidR="00FB31C7" w:rsidRPr="00FB31C7" w:rsidRDefault="00FB31C7" w:rsidP="00FB31C7">
      <w:pPr>
        <w:spacing w:after="0" w:line="240" w:lineRule="auto"/>
        <w:jc w:val="both"/>
        <w:rPr>
          <w:rFonts w:cs="Calibri"/>
          <w:sz w:val="24"/>
          <w:szCs w:val="24"/>
        </w:rPr>
      </w:pPr>
    </w:p>
    <w:p w:rsidR="00FB31C7" w:rsidRPr="00FB31C7" w:rsidRDefault="00FB31C7" w:rsidP="00FB31C7">
      <w:pPr>
        <w:spacing w:after="0" w:line="240" w:lineRule="auto"/>
        <w:jc w:val="both"/>
        <w:rPr>
          <w:rFonts w:cs="Calibri"/>
        </w:rPr>
      </w:pPr>
      <w:r w:rsidRPr="00FB31C7">
        <w:rPr>
          <w:rFonts w:cs="Calibri"/>
        </w:rPr>
        <w:t>Odnośnie angażowania personelu projektu sprawdzeniu podlegają dokumenty istotne z punktu widzenia kwalifikowalności wydatków, w tym umowy, zakresy obowiązków, produkty umów, protokoły odbioru,</w:t>
      </w:r>
      <w:r w:rsidRPr="00FB31C7">
        <w:rPr>
          <w:rFonts w:cs="Calibri"/>
        </w:rPr>
        <w:br/>
        <w:t xml:space="preserve"> itp. w tym też dokumentacja dotycząca rozeznania rynku/postępowania jeżeli dotyczy.</w:t>
      </w:r>
    </w:p>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rPr>
          <w:rFonts w:cs="Calibri"/>
          <w:sz w:val="24"/>
          <w:szCs w:val="24"/>
        </w:rPr>
      </w:pPr>
      <w:r w:rsidRPr="00FB31C7">
        <w:rPr>
          <w:rFonts w:cs="Calibri"/>
        </w:rPr>
        <w:t>Wydatki dotyczące przeprowadzonych zamówień publicznych będą stanowić część składową próby dokumentacji weryfikowanej na etapie wniosku Beneficjenta o płatność, w ramach której sprawdzeniu podlega dokumentacja źródłowa dotycząca minimum 5% pozycji wydatków, jednak nie mniej niż 3 i nie więcej niż 10 pozycji wydatków, które zostały wykazane w weryfikowanym wniosku. Odrębna próba dokumentów jest dokonywana dla wydatków poniesionych w oparciu o zasadę konkurencyjności i odrębna dla postępowań przeprowadzonych w oparci</w:t>
      </w:r>
      <w:r w:rsidR="00595953">
        <w:rPr>
          <w:rFonts w:cs="Calibri"/>
        </w:rPr>
        <w:t xml:space="preserve">u o ustawę </w:t>
      </w:r>
      <w:proofErr w:type="spellStart"/>
      <w:r w:rsidR="00595953">
        <w:rPr>
          <w:rFonts w:cs="Calibri"/>
        </w:rPr>
        <w:t>P</w:t>
      </w:r>
      <w:r w:rsidRPr="00FB31C7">
        <w:rPr>
          <w:rFonts w:cs="Calibri"/>
        </w:rPr>
        <w:t>zp</w:t>
      </w:r>
      <w:proofErr w:type="spellEnd"/>
      <w:r w:rsidR="00595953">
        <w:rPr>
          <w:rFonts w:cs="Calibri"/>
        </w:rPr>
        <w:t>.</w:t>
      </w:r>
      <w:r w:rsidRPr="00FB31C7">
        <w:rPr>
          <w:rFonts w:cs="Calibri"/>
        </w:rPr>
        <w:t xml:space="preserve"> o wartości</w:t>
      </w:r>
      <w:r>
        <w:rPr>
          <w:rFonts w:cs="Calibri"/>
        </w:rPr>
        <w:t xml:space="preserve"> </w:t>
      </w:r>
      <w:r w:rsidRPr="00FB31C7">
        <w:rPr>
          <w:rFonts w:cs="Calibri"/>
        </w:rPr>
        <w:t xml:space="preserve">od której istnieje obowiązek stosowania ustawy </w:t>
      </w:r>
      <w:proofErr w:type="spellStart"/>
      <w:r w:rsidRPr="00FB31C7">
        <w:rPr>
          <w:rFonts w:cs="Calibri"/>
        </w:rPr>
        <w:t>Pzp</w:t>
      </w:r>
      <w:proofErr w:type="spellEnd"/>
      <w:r w:rsidRPr="00FB31C7">
        <w:rPr>
          <w:rFonts w:cs="Calibri"/>
        </w:rPr>
        <w:t>. Niezależnie od lit. b, w każdym przypadku ich wystąpienia weryfikacja uwzględnia dokumenty związane z wyborem wykonawców do realizacji zamówień publicznych realizowanych w oparci</w:t>
      </w:r>
      <w:r w:rsidR="00595953">
        <w:rPr>
          <w:rFonts w:cs="Calibri"/>
        </w:rPr>
        <w:t xml:space="preserve">u o ustawę </w:t>
      </w:r>
      <w:proofErr w:type="spellStart"/>
      <w:r w:rsidR="00595953">
        <w:rPr>
          <w:rFonts w:cs="Calibri"/>
        </w:rPr>
        <w:t>P</w:t>
      </w:r>
      <w:r w:rsidRPr="00FB31C7">
        <w:rPr>
          <w:rFonts w:cs="Calibri"/>
        </w:rPr>
        <w:t>zp</w:t>
      </w:r>
      <w:proofErr w:type="spellEnd"/>
      <w:r w:rsidR="00595953">
        <w:rPr>
          <w:rFonts w:cs="Calibri"/>
        </w:rPr>
        <w:t>.</w:t>
      </w:r>
      <w:r w:rsidRPr="00FB31C7">
        <w:rPr>
          <w:rFonts w:cs="Calibri"/>
        </w:rPr>
        <w:t xml:space="preserve"> o wartości równej lub przekraczającej progi unijne w rozumieniu art. 3 </w:t>
      </w:r>
      <w:proofErr w:type="spellStart"/>
      <w:r w:rsidRPr="00FB31C7">
        <w:rPr>
          <w:rFonts w:cs="Calibri"/>
        </w:rPr>
        <w:t>Pzp</w:t>
      </w:r>
      <w:proofErr w:type="spellEnd"/>
      <w:r w:rsidRPr="00FB31C7">
        <w:rPr>
          <w:rFonts w:cs="Calibri"/>
        </w:rPr>
        <w:t xml:space="preserve">. </w:t>
      </w:r>
    </w:p>
    <w:p w:rsidR="00FB31C7" w:rsidRPr="00FB31C7" w:rsidRDefault="00FB31C7" w:rsidP="00FB31C7">
      <w:pPr>
        <w:spacing w:after="0" w:line="240" w:lineRule="auto"/>
        <w:rPr>
          <w:rFonts w:cs="Calibri"/>
          <w:sz w:val="24"/>
          <w:szCs w:val="24"/>
        </w:rPr>
      </w:pPr>
      <w:r w:rsidRPr="00FB31C7">
        <w:rPr>
          <w:rFonts w:cs="Calibri"/>
        </w:rPr>
        <w:t xml:space="preserve">Dokumentacja dotycząca kwalifikowalności uczestników projektu, weryfikowana jest na próbie 5% uczestników, którzy przystąpili do projektu w weryfikowanym okresie. Ilość uczestników poddanych weryfikacji stanowi nie mniej niż 3 i nie więcej niż 10 uczestników w przypadku wykazania mniej niż 3 uczestników, weryfikacją należy objąć wszystkich z nich. </w:t>
      </w:r>
    </w:p>
    <w:p w:rsidR="00FB31C7" w:rsidRPr="00FB31C7" w:rsidRDefault="00FB31C7" w:rsidP="00FB31C7">
      <w:pPr>
        <w:spacing w:after="0" w:line="240" w:lineRule="auto"/>
        <w:rPr>
          <w:rFonts w:cs="Calibri"/>
        </w:rPr>
      </w:pPr>
      <w:r w:rsidRPr="00FB31C7">
        <w:rPr>
          <w:rFonts w:cs="Calibri"/>
        </w:rPr>
        <w:t>W ramach weryfikacji dokumentacji uczestników projektu sprawdzana jest kwalifikowalność uczestników pod kątem prawidłowości rekrutacji do projektu na podstawie dokumentów źródłowych, tj. oświadczeń lub zaświadczeń urzędowych. Kwalifikowalność uczestników weryfikowana jest na podstawie dokumentów źródłowych również w każdym przypadku, gdy dane wskazane w SL2014 wzbudzają wątpliwości, co do kwalifikowalności danego uczestnika wykazanego w SL2014.</w:t>
      </w:r>
    </w:p>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rPr>
          <w:rFonts w:cs="Calibri"/>
        </w:rPr>
      </w:pPr>
      <w:r w:rsidRPr="00FB31C7">
        <w:rPr>
          <w:rFonts w:cs="Calibri"/>
        </w:rPr>
        <w:t>Weryfikacji pogłębionej podlegają dokumenty finansowo-księgowe wraz z dowodami zapłaty oraz pozostała dokumentacja źródłowa, która jest niezbędna do ustalenia kwalifikowalności wydatków, w szczególności:</w:t>
      </w:r>
    </w:p>
    <w:p w:rsidR="00FB31C7" w:rsidRPr="00FB31C7" w:rsidRDefault="00FB31C7" w:rsidP="00FB31C7">
      <w:pPr>
        <w:numPr>
          <w:ilvl w:val="0"/>
          <w:numId w:val="25"/>
        </w:numPr>
        <w:spacing w:after="0" w:line="240" w:lineRule="auto"/>
        <w:contextualSpacing/>
        <w:rPr>
          <w:rFonts w:cs="Calibri"/>
        </w:rPr>
      </w:pPr>
      <w:r w:rsidRPr="00FB31C7">
        <w:rPr>
          <w:rFonts w:cs="Calibri"/>
        </w:rPr>
        <w:t xml:space="preserve">W przypadku personelu projektu, np. umowy o pracę/umowy cywilnoprawne, zakresy zadań </w:t>
      </w:r>
      <w:r w:rsidRPr="00FB31C7">
        <w:rPr>
          <w:rFonts w:cs="Calibri"/>
        </w:rPr>
        <w:br/>
        <w:t>i obowiązków, opisy stanowisk, listy płac, protokoły odbioru;</w:t>
      </w:r>
    </w:p>
    <w:p w:rsidR="00FB31C7" w:rsidRPr="00FB31C7" w:rsidRDefault="00FB31C7" w:rsidP="00FB31C7">
      <w:pPr>
        <w:numPr>
          <w:ilvl w:val="0"/>
          <w:numId w:val="25"/>
        </w:numPr>
        <w:spacing w:after="0" w:line="240" w:lineRule="auto"/>
        <w:contextualSpacing/>
        <w:rPr>
          <w:rFonts w:cs="Calibri"/>
        </w:rPr>
      </w:pPr>
      <w:r w:rsidRPr="00FB31C7">
        <w:rPr>
          <w:rFonts w:cs="Calibri"/>
        </w:rPr>
        <w:t xml:space="preserve">W przypadku wydatków dotyczących zamówień publicznych o wartości przekraczającej 50 000 PLN netto oraz zamówień o wartości od której istnieje obowiązek stosowania ustawy </w:t>
      </w:r>
      <w:proofErr w:type="spellStart"/>
      <w:r w:rsidRPr="00FB31C7">
        <w:rPr>
          <w:rFonts w:cs="Calibri"/>
        </w:rPr>
        <w:t>Pzp</w:t>
      </w:r>
      <w:proofErr w:type="spellEnd"/>
      <w:r w:rsidRPr="00FB31C7">
        <w:rPr>
          <w:rFonts w:cs="Calibri"/>
        </w:rPr>
        <w:t xml:space="preserve">., </w:t>
      </w:r>
      <w:r w:rsidRPr="00FB31C7">
        <w:rPr>
          <w:rFonts w:cs="Calibri"/>
        </w:rPr>
        <w:br/>
        <w:t xml:space="preserve">np. dokumenty potwierdzające przeprowadzenie postępowania zgodnie z zasadą konkurencyjności, </w:t>
      </w:r>
      <w:r w:rsidRPr="00FB31C7">
        <w:rPr>
          <w:rFonts w:cs="Calibri"/>
        </w:rPr>
        <w:br/>
        <w:t>w szczególności zapytanie ofertowe, upublicznienie postępowania, protokół z postępowania, umowa z wykonawcą, doku</w:t>
      </w:r>
      <w:r w:rsidR="00595953">
        <w:rPr>
          <w:rFonts w:cs="Calibri"/>
        </w:rPr>
        <w:t xml:space="preserve">menty wymagane zapisami ustawy </w:t>
      </w:r>
      <w:proofErr w:type="spellStart"/>
      <w:r w:rsidR="00595953">
        <w:rPr>
          <w:rFonts w:cs="Calibri"/>
        </w:rPr>
        <w:t>P</w:t>
      </w:r>
      <w:r w:rsidRPr="00FB31C7">
        <w:rPr>
          <w:rFonts w:cs="Calibri"/>
        </w:rPr>
        <w:t>zp</w:t>
      </w:r>
      <w:proofErr w:type="spellEnd"/>
      <w:r w:rsidR="00595953">
        <w:rPr>
          <w:rFonts w:cs="Calibri"/>
        </w:rPr>
        <w:t xml:space="preserve">., </w:t>
      </w:r>
      <w:r w:rsidRPr="00FB31C7">
        <w:rPr>
          <w:rFonts w:cs="Calibri"/>
        </w:rPr>
        <w:t>dokumenty potwierdzające zwolnienie ze stosowania danego trybu, dokumenty dotyczące szacowania wartości zamówienia, umowa z wykonawcą, faktury lub dokumenty równoważne;</w:t>
      </w:r>
    </w:p>
    <w:p w:rsidR="00FB31C7" w:rsidRPr="00FB31C7" w:rsidRDefault="00FB31C7" w:rsidP="00FB31C7">
      <w:pPr>
        <w:numPr>
          <w:ilvl w:val="0"/>
          <w:numId w:val="25"/>
        </w:numPr>
        <w:spacing w:after="0" w:line="240" w:lineRule="auto"/>
        <w:contextualSpacing/>
        <w:rPr>
          <w:rFonts w:cs="Calibri"/>
        </w:rPr>
      </w:pPr>
      <w:r w:rsidRPr="00FB31C7">
        <w:rPr>
          <w:rFonts w:cs="Calibri"/>
        </w:rPr>
        <w:t xml:space="preserve">W przypadku zamówień publicznych o wartości równej lub przekraczającej progi unijne </w:t>
      </w:r>
      <w:r w:rsidRPr="00FB31C7">
        <w:rPr>
          <w:rFonts w:cs="Calibri"/>
        </w:rPr>
        <w:br/>
        <w:t xml:space="preserve">w rozumieniu art. 3 </w:t>
      </w:r>
      <w:proofErr w:type="spellStart"/>
      <w:r w:rsidRPr="00FB31C7">
        <w:rPr>
          <w:rFonts w:cs="Calibri"/>
        </w:rPr>
        <w:t>Pzp</w:t>
      </w:r>
      <w:proofErr w:type="spellEnd"/>
      <w:r w:rsidRPr="00FB31C7">
        <w:rPr>
          <w:rFonts w:cs="Calibri"/>
        </w:rPr>
        <w:t>. , m.in. dokume</w:t>
      </w:r>
      <w:r w:rsidR="00595953">
        <w:rPr>
          <w:rFonts w:cs="Calibri"/>
        </w:rPr>
        <w:t xml:space="preserve">nty wymagane zapisami ustawy </w:t>
      </w:r>
      <w:proofErr w:type="spellStart"/>
      <w:r w:rsidR="00595953">
        <w:rPr>
          <w:rFonts w:cs="Calibri"/>
        </w:rPr>
        <w:t>Pzp</w:t>
      </w:r>
      <w:proofErr w:type="spellEnd"/>
      <w:r w:rsidRPr="00FB31C7">
        <w:rPr>
          <w:rFonts w:cs="Calibri"/>
        </w:rPr>
        <w:t xml:space="preserve"> dla poszczególnych trybów udzielania zamówień i procedur z nimi związanych;</w:t>
      </w:r>
    </w:p>
    <w:p w:rsidR="00FB31C7" w:rsidRPr="00FB31C7" w:rsidRDefault="00FB31C7" w:rsidP="00FB31C7">
      <w:pPr>
        <w:numPr>
          <w:ilvl w:val="0"/>
          <w:numId w:val="25"/>
        </w:numPr>
        <w:spacing w:after="0" w:line="240" w:lineRule="auto"/>
        <w:contextualSpacing/>
        <w:rPr>
          <w:rFonts w:cs="Calibri"/>
        </w:rPr>
      </w:pPr>
      <w:r w:rsidRPr="00FB31C7">
        <w:rPr>
          <w:rFonts w:cs="Calibri"/>
        </w:rPr>
        <w:t>W przypadku wydatków dotyczących wykonania różnego rodzaju produktów / opracowań / ekspertyz na rzecz projektu, np. dokumenty związane z wyborem wykonawcy, umowy, faktury, produkty umów, dokumenty potwierdzające dokon</w:t>
      </w:r>
      <w:bookmarkStart w:id="0" w:name="_GoBack"/>
      <w:bookmarkEnd w:id="0"/>
      <w:r w:rsidRPr="00FB31C7">
        <w:rPr>
          <w:rFonts w:cs="Calibri"/>
        </w:rPr>
        <w:t>anie odbioru przedmiotu umowy;</w:t>
      </w:r>
    </w:p>
    <w:p w:rsidR="00FB31C7" w:rsidRPr="00FB31C7" w:rsidRDefault="00FB31C7" w:rsidP="00FB31C7">
      <w:pPr>
        <w:numPr>
          <w:ilvl w:val="0"/>
          <w:numId w:val="25"/>
        </w:numPr>
        <w:spacing w:after="0" w:line="240" w:lineRule="auto"/>
        <w:contextualSpacing/>
        <w:rPr>
          <w:rFonts w:cs="Calibri"/>
        </w:rPr>
      </w:pPr>
      <w:r w:rsidRPr="00FB31C7">
        <w:rPr>
          <w:rFonts w:cs="Calibri"/>
        </w:rPr>
        <w:lastRenderedPageBreak/>
        <w:t>W przypadku weryfikacji projektu skierowanego do uczestników, np. dokumenty potwierdzające kwalifikowalność uczestnika do projektu (oświadczenia, zaświadczenia, deklaracje), certyfikaty, listy obecności.</w:t>
      </w:r>
    </w:p>
    <w:p w:rsidR="00FB31C7" w:rsidRPr="00FB31C7" w:rsidRDefault="00FB31C7" w:rsidP="00FB31C7">
      <w:pPr>
        <w:spacing w:after="0" w:line="240" w:lineRule="auto"/>
        <w:jc w:val="both"/>
        <w:rPr>
          <w:rFonts w:cs="Calibri"/>
          <w:sz w:val="24"/>
          <w:szCs w:val="24"/>
        </w:rPr>
      </w:pPr>
    </w:p>
    <w:p w:rsidR="00FB31C7" w:rsidRPr="00FB31C7" w:rsidRDefault="00FB31C7" w:rsidP="00FB31C7">
      <w:pPr>
        <w:spacing w:after="0" w:line="240" w:lineRule="auto"/>
        <w:rPr>
          <w:rFonts w:cs="Calibri"/>
        </w:rPr>
      </w:pPr>
      <w:r w:rsidRPr="00FB31C7">
        <w:rPr>
          <w:rFonts w:cs="Calibri"/>
        </w:rPr>
        <w:t xml:space="preserve">Weryfikacja pogłębiona może zostać przeprowadzona przez IP RPO WD na każdym etapie realizacji projektu na wszystkich wydatkach wykazanych we wniosku o płatność i wszystkich danych uczestników. </w:t>
      </w:r>
      <w:r w:rsidRPr="00FB31C7">
        <w:rPr>
          <w:rFonts w:cs="Calibri"/>
        </w:rPr>
        <w:br/>
        <w:t xml:space="preserve">W szczególnych przypadkach weryfikacja pogłębiona będzie przeprowadzana na innych wnioskach </w:t>
      </w:r>
      <w:r w:rsidRPr="00FB31C7">
        <w:rPr>
          <w:rFonts w:cs="Calibri"/>
        </w:rPr>
        <w:br/>
        <w:t>o płatność niż te poddane weryfikacji pogłębionej, jeżeli w projekcie wystąpią istotne nieprawidłowości lub uzasadnione podejrzenie ich wystąpienia.</w:t>
      </w:r>
    </w:p>
    <w:p w:rsidR="00FB31C7" w:rsidRPr="00FB31C7" w:rsidRDefault="00FB31C7" w:rsidP="00FB31C7">
      <w:pPr>
        <w:spacing w:after="0" w:line="240" w:lineRule="auto"/>
        <w:rPr>
          <w:rFonts w:cs="Calibri"/>
        </w:rPr>
      </w:pPr>
    </w:p>
    <w:p w:rsidR="00FB31C7" w:rsidRPr="00FB31C7" w:rsidRDefault="00FB31C7" w:rsidP="00FB31C7">
      <w:pPr>
        <w:spacing w:after="0" w:line="240" w:lineRule="auto"/>
        <w:rPr>
          <w:rFonts w:cs="Calibri"/>
        </w:rPr>
      </w:pPr>
      <w:r w:rsidRPr="00FB31C7">
        <w:rPr>
          <w:rFonts w:cs="Calibri"/>
        </w:rPr>
        <w:t>Obowiązek weryfikacji pogłębionej, w tym weryfikacji kwalifikowalności uczestników projektu, nie dotyczy projektów pozakonkursowych finansowanych z Funduszu Pracy i realizowanych przez powiatowe urzędy pracy.</w:t>
      </w:r>
    </w:p>
    <w:p w:rsidR="00FB31C7" w:rsidRPr="00FB31C7" w:rsidRDefault="00FB31C7" w:rsidP="00FB31C7">
      <w:pPr>
        <w:spacing w:after="0" w:line="240" w:lineRule="auto"/>
        <w:jc w:val="both"/>
        <w:rPr>
          <w:rFonts w:cs="Calibri"/>
        </w:rPr>
      </w:pPr>
    </w:p>
    <w:p w:rsidR="00FB31C7" w:rsidRPr="00FB31C7" w:rsidRDefault="00FB31C7" w:rsidP="00FB31C7">
      <w:pPr>
        <w:spacing w:after="0" w:line="240" w:lineRule="auto"/>
        <w:jc w:val="both"/>
        <w:rPr>
          <w:rFonts w:cs="Calibri"/>
        </w:rPr>
      </w:pPr>
      <w:r w:rsidRPr="00FB31C7">
        <w:rPr>
          <w:rFonts w:cs="Calibri"/>
        </w:rPr>
        <w:t>Ad. 2</w:t>
      </w:r>
    </w:p>
    <w:p w:rsidR="00FB31C7" w:rsidRPr="00FB31C7" w:rsidRDefault="00FB31C7" w:rsidP="00FB31C7">
      <w:pPr>
        <w:spacing w:after="0" w:line="240" w:lineRule="auto"/>
        <w:rPr>
          <w:rFonts w:cs="Calibri"/>
        </w:rPr>
      </w:pPr>
      <w:r w:rsidRPr="00FB31C7">
        <w:rPr>
          <w:rFonts w:cs="Calibri"/>
        </w:rPr>
        <w:t xml:space="preserve">Weryfikacja podstawowa jest przeprowadzana dla wszystkich wniosków Beneficjenta o płatność, których nie dotyczy weryfikacja pogłębiona. Doboru próby dokumentów będzie dokonywał pracownik </w:t>
      </w:r>
      <w:r w:rsidRPr="00FB31C7">
        <w:rPr>
          <w:rFonts w:cs="Calibri"/>
        </w:rPr>
        <w:br/>
        <w:t xml:space="preserve">na Stanowisku ds. Obsługi Projektów, nadzorowany bezpośrednio przez właściwego Zastępcę Kierownika oraz następnie przez Kierownika Wydziału. Próba wydatków w przypadku projektów rozliczanych na podstawie rzeczywiście poniesionych wydatków oparta jest na dwustopniowej zasadzie doboru próby: analizie ryzyka i uzupełniona o dobór losowy. Obejmuje wydatki wybrane metodą osądu eksperckiego </w:t>
      </w:r>
      <w:r w:rsidRPr="00FB31C7">
        <w:rPr>
          <w:rFonts w:cs="Calibri"/>
        </w:rPr>
        <w:br/>
        <w:t xml:space="preserve">z obszarów ryzykownych wskazanych poniżej oraz wydatki wybrane metodą losową. Dobór próby metodami niestatystycznymi będzie bazować na doświadczeniu w zakresie weryfikacji oraz wiedzy </w:t>
      </w:r>
      <w:r w:rsidRPr="00FB31C7">
        <w:rPr>
          <w:rFonts w:cs="Calibri"/>
        </w:rPr>
        <w:br/>
        <w:t xml:space="preserve">w obszarze objętym kontrolą i uwzględniał będzie poziom ryzykowności zadań i poszczególnych wydatków. Próba wydatków obejmie dokumentację źródłową dotyczącą minimum 5% pozycji wydatków, jednak nie mniej niż 3 i nie więcej niż 10 pozycji wydatków, które zostały wykazane w weryfikowanym wniosku. </w:t>
      </w:r>
    </w:p>
    <w:p w:rsidR="00FB31C7" w:rsidRPr="00FB31C7" w:rsidRDefault="00FB31C7" w:rsidP="00FB31C7">
      <w:pPr>
        <w:spacing w:after="0" w:line="240" w:lineRule="auto"/>
        <w:rPr>
          <w:rFonts w:cs="Calibri"/>
        </w:rPr>
      </w:pPr>
    </w:p>
    <w:p w:rsidR="00FB31C7" w:rsidRPr="00FB31C7" w:rsidRDefault="00FB31C7" w:rsidP="00FB31C7">
      <w:pPr>
        <w:spacing w:after="0" w:line="240" w:lineRule="auto"/>
        <w:rPr>
          <w:rFonts w:cs="Calibri"/>
        </w:rPr>
      </w:pPr>
      <w:r w:rsidRPr="00FB31C7">
        <w:rPr>
          <w:rFonts w:cs="Calibri"/>
        </w:rPr>
        <w:t>Zarówno w przypadku weryfikacji pogłębionej jak i podstawowej jeżeli w trakcie weryfikacji danego wniosku o płatność wykryto wydatki niekwalifikowalne, które mogą mieć istotny wpływ na prawidłowość realizacji projektu, Instytucja Pośrednicząca powinna odpowiednio zwiększyć próbę kontrolowanych dokumentów w danym obszarze. W przypadku cyklicznego wykazywania w kolejnych wnioskach o płatność wydatków wynikających z tych samych dokumentów źródłowych (np. jednej umowy o pracę) - nie ma konieczności ponownego sprawdzania tych</w:t>
      </w:r>
      <w:r w:rsidRPr="00FB31C7">
        <w:rPr>
          <w:rFonts w:cs="Calibri"/>
          <w:sz w:val="24"/>
          <w:szCs w:val="24"/>
        </w:rPr>
        <w:t xml:space="preserve"> samych </w:t>
      </w:r>
      <w:r w:rsidRPr="00FB31C7">
        <w:rPr>
          <w:rFonts w:cs="Calibri"/>
        </w:rPr>
        <w:t>dokumentów</w:t>
      </w:r>
      <w:r w:rsidRPr="00FB31C7">
        <w:rPr>
          <w:rFonts w:cs="Calibri"/>
          <w:sz w:val="24"/>
          <w:szCs w:val="24"/>
        </w:rPr>
        <w:t xml:space="preserve"> </w:t>
      </w:r>
      <w:r w:rsidRPr="00FB31C7">
        <w:rPr>
          <w:rFonts w:cs="Calibri"/>
        </w:rPr>
        <w:t>źródłowych, o ile w wyniku wcześniejszej weryfikacji nie stwierdzono nieuzasadnionych wydatków.</w:t>
      </w:r>
    </w:p>
    <w:p w:rsidR="00FB31C7" w:rsidRPr="00FB31C7" w:rsidRDefault="00FB31C7" w:rsidP="00FB31C7">
      <w:pPr>
        <w:rPr>
          <w:b/>
          <w:sz w:val="24"/>
          <w:szCs w:val="24"/>
        </w:rPr>
      </w:pPr>
    </w:p>
    <w:sectPr w:rsidR="00FB31C7" w:rsidRPr="00FB31C7" w:rsidSect="00A62DEE">
      <w:footerReference w:type="default" r:id="rId7"/>
      <w:headerReference w:type="first" r:id="rId8"/>
      <w:footerReference w:type="first" r:id="rId9"/>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EC" w:rsidRDefault="006D39EC" w:rsidP="00FE69F7">
      <w:pPr>
        <w:spacing w:after="0" w:line="240" w:lineRule="auto"/>
      </w:pPr>
      <w:r>
        <w:separator/>
      </w:r>
    </w:p>
  </w:endnote>
  <w:endnote w:type="continuationSeparator" w:id="0">
    <w:p w:rsidR="006D39EC" w:rsidRDefault="006D39EC" w:rsidP="00FE6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505" w:rsidRDefault="00DC6505">
    <w:pPr>
      <w:pStyle w:val="Stopka"/>
      <w:jc w:val="right"/>
    </w:pPr>
    <w:r>
      <w:fldChar w:fldCharType="begin"/>
    </w:r>
    <w:r>
      <w:instrText>PAGE   \* MERGEFORMAT</w:instrText>
    </w:r>
    <w:r>
      <w:fldChar w:fldCharType="separate"/>
    </w:r>
    <w:r w:rsidR="00595953">
      <w:rPr>
        <w:noProof/>
      </w:rPr>
      <w:t>3</w:t>
    </w:r>
    <w:r>
      <w:fldChar w:fldCharType="end"/>
    </w:r>
  </w:p>
  <w:p w:rsidR="00DC6505" w:rsidRDefault="00DC65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Stopka"/>
      <w:rPr>
        <w:noProof/>
        <w:lang w:eastAsia="pl-PL"/>
      </w:rPr>
    </w:pPr>
    <w:r w:rsidRPr="0054347B">
      <w:rPr>
        <w:noProof/>
        <w:lang w:eastAsia="pl-PL"/>
      </w:rPr>
      <w:drawing>
        <wp:inline distT="0" distB="0" distL="0" distR="0" wp14:anchorId="46D8CB9D" wp14:editId="06082D71">
          <wp:extent cx="6191250" cy="247650"/>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47650"/>
                  </a:xfrm>
                  <a:prstGeom prst="rect">
                    <a:avLst/>
                  </a:prstGeom>
                  <a:noFill/>
                  <a:ln>
                    <a:noFill/>
                  </a:ln>
                </pic:spPr>
              </pic:pic>
            </a:graphicData>
          </a:graphic>
        </wp:inline>
      </w:drawing>
    </w:r>
  </w:p>
  <w:p w:rsidR="00692B0D" w:rsidRPr="007E37DE" w:rsidRDefault="00692B0D">
    <w:pPr>
      <w:pStyle w:val="Stopka"/>
      <w:rPr>
        <w:sz w:val="12"/>
      </w:rPr>
    </w:pPr>
  </w:p>
  <w:tbl>
    <w:tblPr>
      <w:tblW w:w="9730" w:type="dxa"/>
      <w:tblInd w:w="-5" w:type="dxa"/>
      <w:tblCellMar>
        <w:left w:w="0" w:type="dxa"/>
        <w:right w:w="0" w:type="dxa"/>
      </w:tblCellMar>
      <w:tblLook w:val="04A0" w:firstRow="1" w:lastRow="0" w:firstColumn="1" w:lastColumn="0" w:noHBand="0" w:noVBand="1"/>
    </w:tblPr>
    <w:tblGrid>
      <w:gridCol w:w="4865"/>
      <w:gridCol w:w="4865"/>
    </w:tblGrid>
    <w:tr w:rsidR="00906BAF" w:rsidRPr="006C43CD" w:rsidTr="00F74A63">
      <w:trPr>
        <w:trHeight w:val="500"/>
      </w:trPr>
      <w:tc>
        <w:tcPr>
          <w:tcW w:w="4865" w:type="dxa"/>
          <w:shd w:val="clear" w:color="auto" w:fill="auto"/>
        </w:tcPr>
        <w:p w:rsidR="00F74A63" w:rsidRPr="00F2698E" w:rsidRDefault="00F74A63" w:rsidP="00F74A63">
          <w:pPr>
            <w:pStyle w:val="Stopka"/>
            <w:tabs>
              <w:tab w:val="clear" w:pos="4536"/>
              <w:tab w:val="clear" w:pos="9072"/>
              <w:tab w:val="right" w:pos="10204"/>
            </w:tabs>
            <w:rPr>
              <w:rFonts w:ascii="Arial" w:hAnsi="Arial" w:cs="Arial"/>
              <w:sz w:val="16"/>
              <w:szCs w:val="16"/>
            </w:rPr>
          </w:pPr>
          <w:r w:rsidRPr="00F2698E">
            <w:rPr>
              <w:rFonts w:ascii="Arial" w:hAnsi="Arial" w:cs="Arial"/>
              <w:sz w:val="16"/>
              <w:szCs w:val="16"/>
            </w:rPr>
            <w:t>Dolnośląski Wojewódzki Urząd Pracy</w:t>
          </w:r>
        </w:p>
        <w:p w:rsidR="00F74A63" w:rsidRDefault="00F74A63" w:rsidP="00F74A63">
          <w:pPr>
            <w:pStyle w:val="Stopka"/>
            <w:tabs>
              <w:tab w:val="clear" w:pos="4536"/>
              <w:tab w:val="clear" w:pos="9072"/>
              <w:tab w:val="right" w:pos="10204"/>
            </w:tabs>
            <w:rPr>
              <w:rFonts w:ascii="Arial" w:hAnsi="Arial" w:cs="Arial"/>
              <w:sz w:val="16"/>
              <w:szCs w:val="16"/>
            </w:rPr>
          </w:pPr>
        </w:p>
        <w:p w:rsidR="00906BAF" w:rsidRPr="00F2698E" w:rsidRDefault="000D2698" w:rsidP="007307D0">
          <w:pPr>
            <w:pStyle w:val="Stopka"/>
            <w:tabs>
              <w:tab w:val="clear" w:pos="4536"/>
              <w:tab w:val="clear" w:pos="9072"/>
              <w:tab w:val="right" w:pos="10204"/>
            </w:tabs>
            <w:rPr>
              <w:rFonts w:ascii="Arial" w:hAnsi="Arial" w:cs="Arial"/>
              <w:sz w:val="16"/>
              <w:szCs w:val="16"/>
            </w:rPr>
          </w:pPr>
          <w:r w:rsidRPr="000D2698">
            <w:rPr>
              <w:rFonts w:ascii="Arial" w:hAnsi="Arial" w:cs="Arial"/>
              <w:sz w:val="16"/>
              <w:szCs w:val="16"/>
            </w:rPr>
            <w:t>Wydział Kontroli</w:t>
          </w:r>
        </w:p>
      </w:tc>
      <w:tc>
        <w:tcPr>
          <w:tcW w:w="4865" w:type="dxa"/>
          <w:shd w:val="clear" w:color="auto" w:fill="auto"/>
        </w:tcPr>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al. Armii Krajowej 54, 50-541 Wrocław</w:t>
          </w:r>
        </w:p>
        <w:p w:rsidR="00757047" w:rsidRPr="00A21C81" w:rsidRDefault="00757047" w:rsidP="00757047">
          <w:pPr>
            <w:spacing w:after="0"/>
            <w:jc w:val="right"/>
            <w:rPr>
              <w:rFonts w:ascii="Arial" w:hAnsi="Arial" w:cs="Arial"/>
              <w:sz w:val="16"/>
              <w:szCs w:val="16"/>
            </w:rPr>
          </w:pPr>
          <w:r w:rsidRPr="00A21C81">
            <w:rPr>
              <w:rFonts w:ascii="Arial" w:hAnsi="Arial" w:cs="Arial"/>
              <w:sz w:val="16"/>
              <w:szCs w:val="16"/>
            </w:rPr>
            <w:t>tel.: +48 71 39 74 200 | fax: +48 71 39 74 202</w:t>
          </w:r>
        </w:p>
        <w:p w:rsidR="00906BAF" w:rsidRPr="006C43CD" w:rsidRDefault="00757047" w:rsidP="00757047">
          <w:pPr>
            <w:spacing w:after="0"/>
            <w:jc w:val="right"/>
            <w:rPr>
              <w:rFonts w:ascii="Arial" w:hAnsi="Arial" w:cs="Arial"/>
              <w:sz w:val="16"/>
              <w:szCs w:val="16"/>
              <w:lang w:val="en-US"/>
            </w:rPr>
          </w:pPr>
          <w:r w:rsidRPr="006C43CD">
            <w:rPr>
              <w:rFonts w:ascii="Arial" w:hAnsi="Arial" w:cs="Arial"/>
              <w:sz w:val="16"/>
              <w:szCs w:val="16"/>
              <w:lang w:val="en-US"/>
            </w:rPr>
            <w:t>e-mail: wroclaw.dwup@dwup.pl</w:t>
          </w:r>
        </w:p>
      </w:tc>
    </w:tr>
  </w:tbl>
  <w:p w:rsidR="00FE69F7" w:rsidRPr="006C43CD" w:rsidRDefault="00FE69F7" w:rsidP="00785514">
    <w:pPr>
      <w:pStyle w:val="Stopka"/>
      <w:rPr>
        <w:rFonts w:ascii="Arial" w:hAnsi="Arial" w:cs="Arial"/>
        <w:noProof/>
        <w:sz w:val="2"/>
        <w:szCs w:val="2"/>
        <w:lang w:val="en-US" w:eastAsia="pl-PL"/>
      </w:rPr>
    </w:pPr>
  </w:p>
  <w:tbl>
    <w:tblPr>
      <w:tblW w:w="9733" w:type="dxa"/>
      <w:jc w:val="center"/>
      <w:tblLook w:val="04A0" w:firstRow="1" w:lastRow="0" w:firstColumn="1" w:lastColumn="0" w:noHBand="0" w:noVBand="1"/>
    </w:tblPr>
    <w:tblGrid>
      <w:gridCol w:w="3188"/>
      <w:gridCol w:w="3352"/>
      <w:gridCol w:w="3193"/>
    </w:tblGrid>
    <w:tr w:rsidR="007E37DE" w:rsidRPr="00F2698E" w:rsidTr="008268D5">
      <w:trPr>
        <w:trHeight w:val="372"/>
        <w:jc w:val="center"/>
      </w:trPr>
      <w:tc>
        <w:tcPr>
          <w:tcW w:w="3188" w:type="dxa"/>
          <w:shd w:val="clear" w:color="auto" w:fill="auto"/>
          <w:noWrap/>
          <w:tcMar>
            <w:left w:w="0" w:type="dxa"/>
            <w:right w:w="0" w:type="dxa"/>
          </w:tcMar>
          <w:tcFitText/>
          <w:vAlign w:val="center"/>
        </w:tcPr>
        <w:p w:rsidR="007E37DE" w:rsidRPr="00F2698E" w:rsidRDefault="00633832" w:rsidP="007E37DE">
          <w:pPr>
            <w:spacing w:after="0" w:line="240" w:lineRule="auto"/>
          </w:pPr>
          <w:r w:rsidRPr="007E37DE">
            <w:rPr>
              <w:noProof/>
              <w:lang w:eastAsia="pl-PL"/>
            </w:rPr>
            <w:drawing>
              <wp:inline distT="0" distB="0" distL="0" distR="0" wp14:anchorId="02C3FA1B" wp14:editId="335E9E2C">
                <wp:extent cx="1047750" cy="542925"/>
                <wp:effectExtent l="0" t="0" r="0" b="9525"/>
                <wp:docPr id="3" name="Obraz 34" descr="C:\Users\gmolenda\Desktop\wysłane\Papier firmowy - Szablony\Logotypy RPO\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descr="C:\Users\gmolenda\Desktop\wysłane\Papier firmowy - Szablony\Logotypy RPO\FE_PR_POZIOM-AchromatPozytyw-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42925"/>
                        </a:xfrm>
                        <a:prstGeom prst="rect">
                          <a:avLst/>
                        </a:prstGeom>
                        <a:noFill/>
                        <a:ln>
                          <a:noFill/>
                        </a:ln>
                      </pic:spPr>
                    </pic:pic>
                  </a:graphicData>
                </a:graphic>
              </wp:inline>
            </w:drawing>
          </w:r>
        </w:p>
      </w:tc>
      <w:tc>
        <w:tcPr>
          <w:tcW w:w="3352" w:type="dxa"/>
          <w:shd w:val="clear" w:color="auto" w:fill="auto"/>
          <w:noWrap/>
          <w:tcMar>
            <w:left w:w="0" w:type="dxa"/>
            <w:right w:w="0" w:type="dxa"/>
          </w:tcMar>
          <w:tcFitText/>
          <w:vAlign w:val="center"/>
        </w:tcPr>
        <w:p w:rsidR="007E37DE" w:rsidRPr="00F2698E" w:rsidRDefault="00633832" w:rsidP="007E37DE">
          <w:pPr>
            <w:spacing w:after="0" w:line="240" w:lineRule="auto"/>
            <w:jc w:val="center"/>
          </w:pPr>
          <w:r w:rsidRPr="00C5396C">
            <w:rPr>
              <w:noProof/>
              <w:lang w:eastAsia="pl-PL"/>
            </w:rPr>
            <w:drawing>
              <wp:inline distT="0" distB="0" distL="0" distR="0" wp14:anchorId="4FE6D8F3" wp14:editId="661DC063">
                <wp:extent cx="876300" cy="323850"/>
                <wp:effectExtent l="0" t="0" r="0" b="0"/>
                <wp:docPr id="4" name="Obraz 43" descr="C:\Users\gmolenda\Desktop\wysłane\Papier firmowy - Szablony\logotyp\Dolny Śląsk - logotyp, cz-b (jpg-z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C:\Users\gmolenda\Desktop\wysłane\Papier firmowy - Szablony\logotyp\Dolny Śląsk - logotyp, cz-b (jpg-zip).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6300" cy="323850"/>
                        </a:xfrm>
                        <a:prstGeom prst="rect">
                          <a:avLst/>
                        </a:prstGeom>
                        <a:noFill/>
                        <a:ln>
                          <a:noFill/>
                        </a:ln>
                      </pic:spPr>
                    </pic:pic>
                  </a:graphicData>
                </a:graphic>
              </wp:inline>
            </w:drawing>
          </w:r>
        </w:p>
      </w:tc>
      <w:tc>
        <w:tcPr>
          <w:tcW w:w="3193" w:type="dxa"/>
          <w:shd w:val="clear" w:color="auto" w:fill="auto"/>
          <w:noWrap/>
          <w:tcMar>
            <w:left w:w="0" w:type="dxa"/>
            <w:right w:w="0" w:type="dxa"/>
          </w:tcMar>
          <w:tcFitText/>
          <w:vAlign w:val="center"/>
        </w:tcPr>
        <w:p w:rsidR="007E37DE" w:rsidRPr="00F2698E" w:rsidRDefault="00633832" w:rsidP="007E37DE">
          <w:pPr>
            <w:spacing w:after="0" w:line="240" w:lineRule="auto"/>
            <w:jc w:val="right"/>
          </w:pPr>
          <w:r w:rsidRPr="00C5396C">
            <w:rPr>
              <w:noProof/>
              <w:lang w:eastAsia="pl-PL"/>
            </w:rPr>
            <w:drawing>
              <wp:inline distT="0" distB="0" distL="0" distR="0" wp14:anchorId="1E6A7533" wp14:editId="751EFA32">
                <wp:extent cx="1476375" cy="438150"/>
                <wp:effectExtent l="0" t="0" r="9525"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tc>
    </w:tr>
  </w:tbl>
  <w:p w:rsidR="00DC6505" w:rsidRPr="00DC6505" w:rsidRDefault="00DC6505" w:rsidP="00785514">
    <w:pPr>
      <w:pStyle w:val="Stopka"/>
      <w:rPr>
        <w:rFonts w:ascii="Arial" w:hAnsi="Arial" w:cs="Arial"/>
        <w:noProof/>
        <w:sz w:val="2"/>
        <w:szCs w:val="2"/>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EC" w:rsidRDefault="006D39EC" w:rsidP="00FE69F7">
      <w:pPr>
        <w:spacing w:after="0" w:line="240" w:lineRule="auto"/>
      </w:pPr>
      <w:r>
        <w:separator/>
      </w:r>
    </w:p>
  </w:footnote>
  <w:footnote w:type="continuationSeparator" w:id="0">
    <w:p w:rsidR="006D39EC" w:rsidRDefault="006D39EC" w:rsidP="00FE6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F7" w:rsidRDefault="00633832">
    <w:pPr>
      <w:pStyle w:val="Nagwek"/>
    </w:pPr>
    <w:r w:rsidRPr="00E40E94">
      <w:rPr>
        <w:noProof/>
        <w:lang w:eastAsia="pl-PL"/>
      </w:rPr>
      <w:drawing>
        <wp:inline distT="0" distB="0" distL="0" distR="0" wp14:anchorId="21B38E85" wp14:editId="006F3F37">
          <wp:extent cx="1647825" cy="895350"/>
          <wp:effectExtent l="0" t="0" r="0" b="0"/>
          <wp:docPr id="1" name="Obraz 1" descr="C:\Users\gmolenda\Desktop\DWUP 0 logo\5 DWUP dodatkowe skrot pelna nazwa www\5 DWUP poziome skrot pelna nazwa www SKALA SZAROS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gmolenda\Desktop\DWUP 0 logo\5 DWUP dodatkowe skrot pelna nazwa www\5 DWUP poziome skrot pelna nazwa www SKALA SZAROS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95350"/>
                  </a:xfrm>
                  <a:prstGeom prst="rect">
                    <a:avLst/>
                  </a:prstGeom>
                  <a:noFill/>
                  <a:ln>
                    <a:noFill/>
                  </a:ln>
                </pic:spPr>
              </pic:pic>
            </a:graphicData>
          </a:graphic>
        </wp:inline>
      </w:drawing>
    </w:r>
  </w:p>
  <w:p w:rsidR="00552A18" w:rsidRDefault="00552A1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770"/>
    <w:multiLevelType w:val="hybridMultilevel"/>
    <w:tmpl w:val="60283FB8"/>
    <w:lvl w:ilvl="0" w:tplc="04150001">
      <w:start w:val="1"/>
      <w:numFmt w:val="bullet"/>
      <w:lvlText w:val=""/>
      <w:lvlJc w:val="left"/>
      <w:pPr>
        <w:ind w:left="360" w:hanging="360"/>
      </w:pPr>
      <w:rPr>
        <w:rFonts w:ascii="Symbol" w:hAnsi="Symbol"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6755C9D"/>
    <w:multiLevelType w:val="hybridMultilevel"/>
    <w:tmpl w:val="61DA580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15144914"/>
    <w:multiLevelType w:val="hybridMultilevel"/>
    <w:tmpl w:val="3A787476"/>
    <w:lvl w:ilvl="0" w:tplc="2DAA425C">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1612C40"/>
    <w:multiLevelType w:val="hybridMultilevel"/>
    <w:tmpl w:val="A8BE3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D44636"/>
    <w:multiLevelType w:val="hybridMultilevel"/>
    <w:tmpl w:val="F20E9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915ECB"/>
    <w:multiLevelType w:val="hybridMultilevel"/>
    <w:tmpl w:val="D4820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BF7AD6"/>
    <w:multiLevelType w:val="multilevel"/>
    <w:tmpl w:val="4EF2F7CA"/>
    <w:lvl w:ilvl="0">
      <w:start w:val="1"/>
      <w:numFmt w:val="decimal"/>
      <w:lvlText w:val="%1."/>
      <w:lvlJc w:val="left"/>
      <w:pPr>
        <w:ind w:left="360" w:hanging="360"/>
      </w:pPr>
      <w:rPr>
        <w:rFonts w:ascii="Calibri" w:hAnsi="Calibri" w:cs="Calibri" w:hint="default"/>
        <w:b/>
        <w:color w:val="000000" w:themeColor="text1"/>
        <w:sz w:val="24"/>
        <w:szCs w:val="24"/>
      </w:rPr>
    </w:lvl>
    <w:lvl w:ilvl="1">
      <w:start w:val="1"/>
      <w:numFmt w:val="decimal"/>
      <w:lvlText w:val="%1.%2."/>
      <w:lvlJc w:val="left"/>
      <w:pPr>
        <w:ind w:left="792" w:hanging="432"/>
      </w:pPr>
      <w:rPr>
        <w:b/>
      </w:rPr>
    </w:lvl>
    <w:lvl w:ilvl="2">
      <w:start w:val="1"/>
      <w:numFmt w:val="decimal"/>
      <w:lvlText w:val="%1.%2.%3."/>
      <w:lvlJc w:val="left"/>
      <w:pPr>
        <w:ind w:left="1224" w:hanging="504"/>
      </w:pPr>
      <w:rPr>
        <w:b/>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4821F9"/>
    <w:multiLevelType w:val="hybridMultilevel"/>
    <w:tmpl w:val="03B0D6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4EE5698"/>
    <w:multiLevelType w:val="hybridMultilevel"/>
    <w:tmpl w:val="53A2E10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A32423E"/>
    <w:multiLevelType w:val="hybridMultilevel"/>
    <w:tmpl w:val="097899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A04DC8"/>
    <w:multiLevelType w:val="hybridMultilevel"/>
    <w:tmpl w:val="629EB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4205AF"/>
    <w:multiLevelType w:val="hybridMultilevel"/>
    <w:tmpl w:val="0F883C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586287"/>
    <w:multiLevelType w:val="hybridMultilevel"/>
    <w:tmpl w:val="E9FC0CFE"/>
    <w:lvl w:ilvl="0" w:tplc="BB3C76FA">
      <w:start w:val="1"/>
      <w:numFmt w:val="bullet"/>
      <w:lvlText w:val=""/>
      <w:lvlJc w:val="left"/>
      <w:pPr>
        <w:ind w:left="792" w:hanging="360"/>
      </w:pPr>
      <w:rPr>
        <w:rFonts w:ascii="Symbol" w:hAnsi="Symbol" w:hint="default"/>
        <w:color w:val="auto"/>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3" w15:restartNumberingAfterBreak="0">
    <w:nsid w:val="539D0036"/>
    <w:multiLevelType w:val="hybridMultilevel"/>
    <w:tmpl w:val="6F162D2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57E36A69"/>
    <w:multiLevelType w:val="hybridMultilevel"/>
    <w:tmpl w:val="B07E7B40"/>
    <w:lvl w:ilvl="0" w:tplc="04150001">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834033"/>
    <w:multiLevelType w:val="hybridMultilevel"/>
    <w:tmpl w:val="6338E5BA"/>
    <w:lvl w:ilvl="0" w:tplc="097AD9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9BF4382"/>
    <w:multiLevelType w:val="hybridMultilevel"/>
    <w:tmpl w:val="039A9496"/>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7" w15:restartNumberingAfterBreak="0">
    <w:nsid w:val="5A734461"/>
    <w:multiLevelType w:val="hybridMultilevel"/>
    <w:tmpl w:val="2968E5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417707"/>
    <w:multiLevelType w:val="hybridMultilevel"/>
    <w:tmpl w:val="43AA2D68"/>
    <w:lvl w:ilvl="0" w:tplc="04150001">
      <w:start w:val="1"/>
      <w:numFmt w:val="bullet"/>
      <w:lvlText w:val=""/>
      <w:lvlJc w:val="left"/>
      <w:pPr>
        <w:ind w:left="810" w:hanging="360"/>
      </w:pPr>
      <w:rPr>
        <w:rFonts w:ascii="Symbol" w:hAnsi="Symbol" w:hint="default"/>
      </w:rPr>
    </w:lvl>
    <w:lvl w:ilvl="1" w:tplc="04150003" w:tentative="1">
      <w:start w:val="1"/>
      <w:numFmt w:val="bullet"/>
      <w:lvlText w:val="o"/>
      <w:lvlJc w:val="left"/>
      <w:pPr>
        <w:ind w:left="1530" w:hanging="360"/>
      </w:pPr>
      <w:rPr>
        <w:rFonts w:ascii="Courier New" w:hAnsi="Courier New" w:cs="Courier New" w:hint="default"/>
      </w:rPr>
    </w:lvl>
    <w:lvl w:ilvl="2" w:tplc="04150005" w:tentative="1">
      <w:start w:val="1"/>
      <w:numFmt w:val="bullet"/>
      <w:lvlText w:val=""/>
      <w:lvlJc w:val="left"/>
      <w:pPr>
        <w:ind w:left="2250" w:hanging="360"/>
      </w:pPr>
      <w:rPr>
        <w:rFonts w:ascii="Wingdings" w:hAnsi="Wingdings" w:hint="default"/>
      </w:rPr>
    </w:lvl>
    <w:lvl w:ilvl="3" w:tplc="04150001" w:tentative="1">
      <w:start w:val="1"/>
      <w:numFmt w:val="bullet"/>
      <w:lvlText w:val=""/>
      <w:lvlJc w:val="left"/>
      <w:pPr>
        <w:ind w:left="2970" w:hanging="360"/>
      </w:pPr>
      <w:rPr>
        <w:rFonts w:ascii="Symbol" w:hAnsi="Symbol" w:hint="default"/>
      </w:rPr>
    </w:lvl>
    <w:lvl w:ilvl="4" w:tplc="04150003" w:tentative="1">
      <w:start w:val="1"/>
      <w:numFmt w:val="bullet"/>
      <w:lvlText w:val="o"/>
      <w:lvlJc w:val="left"/>
      <w:pPr>
        <w:ind w:left="3690" w:hanging="360"/>
      </w:pPr>
      <w:rPr>
        <w:rFonts w:ascii="Courier New" w:hAnsi="Courier New" w:cs="Courier New" w:hint="default"/>
      </w:rPr>
    </w:lvl>
    <w:lvl w:ilvl="5" w:tplc="04150005" w:tentative="1">
      <w:start w:val="1"/>
      <w:numFmt w:val="bullet"/>
      <w:lvlText w:val=""/>
      <w:lvlJc w:val="left"/>
      <w:pPr>
        <w:ind w:left="4410" w:hanging="360"/>
      </w:pPr>
      <w:rPr>
        <w:rFonts w:ascii="Wingdings" w:hAnsi="Wingdings" w:hint="default"/>
      </w:rPr>
    </w:lvl>
    <w:lvl w:ilvl="6" w:tplc="04150001" w:tentative="1">
      <w:start w:val="1"/>
      <w:numFmt w:val="bullet"/>
      <w:lvlText w:val=""/>
      <w:lvlJc w:val="left"/>
      <w:pPr>
        <w:ind w:left="5130" w:hanging="360"/>
      </w:pPr>
      <w:rPr>
        <w:rFonts w:ascii="Symbol" w:hAnsi="Symbol" w:hint="default"/>
      </w:rPr>
    </w:lvl>
    <w:lvl w:ilvl="7" w:tplc="04150003" w:tentative="1">
      <w:start w:val="1"/>
      <w:numFmt w:val="bullet"/>
      <w:lvlText w:val="o"/>
      <w:lvlJc w:val="left"/>
      <w:pPr>
        <w:ind w:left="5850" w:hanging="360"/>
      </w:pPr>
      <w:rPr>
        <w:rFonts w:ascii="Courier New" w:hAnsi="Courier New" w:cs="Courier New" w:hint="default"/>
      </w:rPr>
    </w:lvl>
    <w:lvl w:ilvl="8" w:tplc="04150005" w:tentative="1">
      <w:start w:val="1"/>
      <w:numFmt w:val="bullet"/>
      <w:lvlText w:val=""/>
      <w:lvlJc w:val="left"/>
      <w:pPr>
        <w:ind w:left="6570" w:hanging="360"/>
      </w:pPr>
      <w:rPr>
        <w:rFonts w:ascii="Wingdings" w:hAnsi="Wingdings" w:hint="default"/>
      </w:rPr>
    </w:lvl>
  </w:abstractNum>
  <w:abstractNum w:abstractNumId="19" w15:restartNumberingAfterBreak="0">
    <w:nsid w:val="6BB84B34"/>
    <w:multiLevelType w:val="hybridMultilevel"/>
    <w:tmpl w:val="CCFA3E2C"/>
    <w:lvl w:ilvl="0" w:tplc="097AD97C">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6CAA72A3"/>
    <w:multiLevelType w:val="hybridMultilevel"/>
    <w:tmpl w:val="6F4C55F8"/>
    <w:lvl w:ilvl="0" w:tplc="04150001">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21" w15:restartNumberingAfterBreak="0">
    <w:nsid w:val="6D176B50"/>
    <w:multiLevelType w:val="hybridMultilevel"/>
    <w:tmpl w:val="7A22CC08"/>
    <w:lvl w:ilvl="0" w:tplc="3DDA4BB2">
      <w:start w:val="1"/>
      <w:numFmt w:val="decimal"/>
      <w:lvlText w:val="%1."/>
      <w:lvlJc w:val="left"/>
      <w:pPr>
        <w:ind w:left="720" w:hanging="360"/>
      </w:pPr>
      <w:rPr>
        <w:rFonts w:ascii="Calibri" w:hAnsi="Calibri"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A05516"/>
    <w:multiLevelType w:val="hybridMultilevel"/>
    <w:tmpl w:val="DC9A8C8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15:restartNumberingAfterBreak="0">
    <w:nsid w:val="70820120"/>
    <w:multiLevelType w:val="hybridMultilevel"/>
    <w:tmpl w:val="BFCEF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CAF0B01"/>
    <w:multiLevelType w:val="hybridMultilevel"/>
    <w:tmpl w:val="A90CE4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3"/>
  </w:num>
  <w:num w:numId="4">
    <w:abstractNumId w:val="14"/>
  </w:num>
  <w:num w:numId="5">
    <w:abstractNumId w:val="22"/>
  </w:num>
  <w:num w:numId="6">
    <w:abstractNumId w:val="18"/>
  </w:num>
  <w:num w:numId="7">
    <w:abstractNumId w:val="11"/>
  </w:num>
  <w:num w:numId="8">
    <w:abstractNumId w:val="13"/>
  </w:num>
  <w:num w:numId="9">
    <w:abstractNumId w:val="9"/>
  </w:num>
  <w:num w:numId="10">
    <w:abstractNumId w:val="24"/>
  </w:num>
  <w:num w:numId="11">
    <w:abstractNumId w:val="8"/>
  </w:num>
  <w:num w:numId="12">
    <w:abstractNumId w:val="1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0"/>
  </w:num>
  <w:num w:numId="18">
    <w:abstractNumId w:val="3"/>
  </w:num>
  <w:num w:numId="19">
    <w:abstractNumId w:val="6"/>
  </w:num>
  <w:num w:numId="20">
    <w:abstractNumId w:val="10"/>
  </w:num>
  <w:num w:numId="21">
    <w:abstractNumId w:val="19"/>
  </w:num>
  <w:num w:numId="22">
    <w:abstractNumId w:val="5"/>
  </w:num>
  <w:num w:numId="23">
    <w:abstractNumId w:val="21"/>
  </w:num>
  <w:num w:numId="24">
    <w:abstractNumId w:val="17"/>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CD"/>
    <w:rsid w:val="00002D37"/>
    <w:rsid w:val="0000398A"/>
    <w:rsid w:val="000343BE"/>
    <w:rsid w:val="00045282"/>
    <w:rsid w:val="00085906"/>
    <w:rsid w:val="00090BFB"/>
    <w:rsid w:val="000A712E"/>
    <w:rsid w:val="000A777C"/>
    <w:rsid w:val="000C316B"/>
    <w:rsid w:val="000D2698"/>
    <w:rsid w:val="000D63D2"/>
    <w:rsid w:val="00121479"/>
    <w:rsid w:val="00127EE7"/>
    <w:rsid w:val="00132251"/>
    <w:rsid w:val="001526CE"/>
    <w:rsid w:val="001A4B5D"/>
    <w:rsid w:val="001D4F1E"/>
    <w:rsid w:val="001E3C70"/>
    <w:rsid w:val="00203707"/>
    <w:rsid w:val="0022316C"/>
    <w:rsid w:val="00231705"/>
    <w:rsid w:val="00243434"/>
    <w:rsid w:val="00254F51"/>
    <w:rsid w:val="00260F96"/>
    <w:rsid w:val="00280661"/>
    <w:rsid w:val="00292FD9"/>
    <w:rsid w:val="002935CB"/>
    <w:rsid w:val="00296D2E"/>
    <w:rsid w:val="002A0731"/>
    <w:rsid w:val="002A3F51"/>
    <w:rsid w:val="002A71C2"/>
    <w:rsid w:val="002E3551"/>
    <w:rsid w:val="002F1736"/>
    <w:rsid w:val="00302160"/>
    <w:rsid w:val="00307017"/>
    <w:rsid w:val="0033617E"/>
    <w:rsid w:val="00341FD7"/>
    <w:rsid w:val="00366474"/>
    <w:rsid w:val="003C2365"/>
    <w:rsid w:val="00415C35"/>
    <w:rsid w:val="00427956"/>
    <w:rsid w:val="0043168C"/>
    <w:rsid w:val="00441F45"/>
    <w:rsid w:val="0044310D"/>
    <w:rsid w:val="0047054F"/>
    <w:rsid w:val="004858C9"/>
    <w:rsid w:val="00497C31"/>
    <w:rsid w:val="004E2852"/>
    <w:rsid w:val="00504698"/>
    <w:rsid w:val="00525829"/>
    <w:rsid w:val="00543E6A"/>
    <w:rsid w:val="005468F2"/>
    <w:rsid w:val="00552529"/>
    <w:rsid w:val="00552A18"/>
    <w:rsid w:val="00556741"/>
    <w:rsid w:val="00595953"/>
    <w:rsid w:val="005A1AF6"/>
    <w:rsid w:val="005A5996"/>
    <w:rsid w:val="005B3A8F"/>
    <w:rsid w:val="005B47DF"/>
    <w:rsid w:val="00611DC1"/>
    <w:rsid w:val="00633832"/>
    <w:rsid w:val="00635D5E"/>
    <w:rsid w:val="00692B0D"/>
    <w:rsid w:val="006A551A"/>
    <w:rsid w:val="006C30B7"/>
    <w:rsid w:val="006C43CD"/>
    <w:rsid w:val="006D37A3"/>
    <w:rsid w:val="006D39EC"/>
    <w:rsid w:val="006E36FD"/>
    <w:rsid w:val="00712797"/>
    <w:rsid w:val="0072197F"/>
    <w:rsid w:val="007307D0"/>
    <w:rsid w:val="00746625"/>
    <w:rsid w:val="00753823"/>
    <w:rsid w:val="00757047"/>
    <w:rsid w:val="00766D7D"/>
    <w:rsid w:val="00785514"/>
    <w:rsid w:val="007864FA"/>
    <w:rsid w:val="007B566F"/>
    <w:rsid w:val="007C40F5"/>
    <w:rsid w:val="007E37DE"/>
    <w:rsid w:val="007F44D6"/>
    <w:rsid w:val="00800453"/>
    <w:rsid w:val="008268D5"/>
    <w:rsid w:val="008726DC"/>
    <w:rsid w:val="00884330"/>
    <w:rsid w:val="008855CA"/>
    <w:rsid w:val="008C6325"/>
    <w:rsid w:val="008C694E"/>
    <w:rsid w:val="00903C9D"/>
    <w:rsid w:val="00906760"/>
    <w:rsid w:val="00906BAF"/>
    <w:rsid w:val="00907BD4"/>
    <w:rsid w:val="00930F2D"/>
    <w:rsid w:val="009441B7"/>
    <w:rsid w:val="00945F66"/>
    <w:rsid w:val="00953D25"/>
    <w:rsid w:val="00980631"/>
    <w:rsid w:val="00985E7B"/>
    <w:rsid w:val="0098713B"/>
    <w:rsid w:val="00997D7D"/>
    <w:rsid w:val="009B6BD8"/>
    <w:rsid w:val="009D6EBB"/>
    <w:rsid w:val="009F2E4C"/>
    <w:rsid w:val="009F6688"/>
    <w:rsid w:val="00A30F58"/>
    <w:rsid w:val="00A4604B"/>
    <w:rsid w:val="00A5316F"/>
    <w:rsid w:val="00A575E3"/>
    <w:rsid w:val="00A62DEE"/>
    <w:rsid w:val="00A66A1A"/>
    <w:rsid w:val="00A9561B"/>
    <w:rsid w:val="00AC6393"/>
    <w:rsid w:val="00B13629"/>
    <w:rsid w:val="00B3234C"/>
    <w:rsid w:val="00B40E69"/>
    <w:rsid w:val="00B54B67"/>
    <w:rsid w:val="00B61D7C"/>
    <w:rsid w:val="00B67E38"/>
    <w:rsid w:val="00B92959"/>
    <w:rsid w:val="00B929B0"/>
    <w:rsid w:val="00B954E6"/>
    <w:rsid w:val="00BC5235"/>
    <w:rsid w:val="00BD0B64"/>
    <w:rsid w:val="00BF7F13"/>
    <w:rsid w:val="00C46A12"/>
    <w:rsid w:val="00C55529"/>
    <w:rsid w:val="00C635F1"/>
    <w:rsid w:val="00C8595E"/>
    <w:rsid w:val="00C93FFA"/>
    <w:rsid w:val="00CC3037"/>
    <w:rsid w:val="00CD46A7"/>
    <w:rsid w:val="00CF349E"/>
    <w:rsid w:val="00D03D93"/>
    <w:rsid w:val="00D06DC4"/>
    <w:rsid w:val="00D11AF5"/>
    <w:rsid w:val="00D21F4F"/>
    <w:rsid w:val="00D33070"/>
    <w:rsid w:val="00D37DBF"/>
    <w:rsid w:val="00D512E8"/>
    <w:rsid w:val="00D56C8E"/>
    <w:rsid w:val="00D65945"/>
    <w:rsid w:val="00D66ADA"/>
    <w:rsid w:val="00D918F6"/>
    <w:rsid w:val="00DB4A1A"/>
    <w:rsid w:val="00DC6505"/>
    <w:rsid w:val="00DE7250"/>
    <w:rsid w:val="00DF1536"/>
    <w:rsid w:val="00DF17C7"/>
    <w:rsid w:val="00E11C99"/>
    <w:rsid w:val="00E413EB"/>
    <w:rsid w:val="00E76925"/>
    <w:rsid w:val="00E77F1E"/>
    <w:rsid w:val="00EA0B79"/>
    <w:rsid w:val="00EC1855"/>
    <w:rsid w:val="00EF040A"/>
    <w:rsid w:val="00F25F3D"/>
    <w:rsid w:val="00F2698E"/>
    <w:rsid w:val="00F33623"/>
    <w:rsid w:val="00F35066"/>
    <w:rsid w:val="00F438C0"/>
    <w:rsid w:val="00F57FA5"/>
    <w:rsid w:val="00F63266"/>
    <w:rsid w:val="00F74A63"/>
    <w:rsid w:val="00F9143E"/>
    <w:rsid w:val="00F96014"/>
    <w:rsid w:val="00F96F67"/>
    <w:rsid w:val="00FB31C7"/>
    <w:rsid w:val="00FE0241"/>
    <w:rsid w:val="00FE42EE"/>
    <w:rsid w:val="00FE6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98799"/>
  <w15:docId w15:val="{4493DDB8-B553-42A8-A94C-BD763D81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sz w:val="22"/>
      <w:szCs w:val="22"/>
      <w:lang w:eastAsia="en-US"/>
    </w:rPr>
  </w:style>
  <w:style w:type="paragraph" w:styleId="Nagwek3">
    <w:name w:val="heading 3"/>
    <w:basedOn w:val="Normalny"/>
    <w:link w:val="Nagwek3Znak"/>
    <w:uiPriority w:val="9"/>
    <w:qFormat/>
    <w:rsid w:val="00DC6505"/>
    <w:pPr>
      <w:spacing w:before="100" w:beforeAutospacing="1" w:after="100"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E69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69F7"/>
  </w:style>
  <w:style w:type="paragraph" w:styleId="Stopka">
    <w:name w:val="footer"/>
    <w:basedOn w:val="Normalny"/>
    <w:link w:val="StopkaZnak"/>
    <w:uiPriority w:val="99"/>
    <w:unhideWhenUsed/>
    <w:rsid w:val="00FE69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69F7"/>
  </w:style>
  <w:style w:type="character" w:styleId="Hipercze">
    <w:name w:val="Hyperlink"/>
    <w:uiPriority w:val="99"/>
    <w:unhideWhenUsed/>
    <w:rsid w:val="00FE69F7"/>
    <w:rPr>
      <w:color w:val="0563C1"/>
      <w:u w:val="single"/>
    </w:rPr>
  </w:style>
  <w:style w:type="table" w:styleId="Tabela-Siatka">
    <w:name w:val="Table Grid"/>
    <w:basedOn w:val="Standardowy"/>
    <w:uiPriority w:val="39"/>
    <w:rsid w:val="00785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DC6505"/>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C6505"/>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DC6505"/>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C6505"/>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03C9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03C9D"/>
    <w:rPr>
      <w:lang w:eastAsia="en-US"/>
    </w:rPr>
  </w:style>
  <w:style w:type="character" w:styleId="Odwoanieprzypisudolnego">
    <w:name w:val="footnote reference"/>
    <w:rsid w:val="00903C9D"/>
    <w:rPr>
      <w:vertAlign w:val="superscript"/>
    </w:rPr>
  </w:style>
  <w:style w:type="paragraph" w:styleId="Akapitzlist">
    <w:name w:val="List Paragraph"/>
    <w:basedOn w:val="Normalny"/>
    <w:uiPriority w:val="34"/>
    <w:qFormat/>
    <w:rsid w:val="00121479"/>
    <w:pPr>
      <w:ind w:left="720"/>
      <w:contextualSpacing/>
    </w:pPr>
  </w:style>
  <w:style w:type="paragraph" w:customStyle="1" w:styleId="Style16">
    <w:name w:val="Style 16"/>
    <w:uiPriority w:val="99"/>
    <w:rsid w:val="00DB4A1A"/>
    <w:pPr>
      <w:widowControl w:val="0"/>
      <w:autoSpaceDE w:val="0"/>
      <w:autoSpaceDN w:val="0"/>
      <w:ind w:left="72"/>
    </w:pPr>
    <w:rPr>
      <w:rFonts w:ascii="Arial" w:hAnsi="Arial" w:cs="Arial"/>
    </w:rPr>
  </w:style>
  <w:style w:type="character" w:customStyle="1" w:styleId="CharacterStyle2">
    <w:name w:val="Character Style 2"/>
    <w:uiPriority w:val="99"/>
    <w:rsid w:val="00DB4A1A"/>
    <w:rPr>
      <w:rFonts w:ascii="Arial" w:hAnsi="Arial"/>
      <w:sz w:val="20"/>
    </w:rPr>
  </w:style>
  <w:style w:type="paragraph" w:styleId="Tekstpodstawowy">
    <w:name w:val="Body Text"/>
    <w:basedOn w:val="Normalny"/>
    <w:link w:val="TekstpodstawowyZnak"/>
    <w:uiPriority w:val="99"/>
    <w:semiHidden/>
    <w:unhideWhenUsed/>
    <w:rsid w:val="00504698"/>
    <w:pPr>
      <w:spacing w:after="120"/>
    </w:pPr>
  </w:style>
  <w:style w:type="character" w:customStyle="1" w:styleId="TekstpodstawowyZnak">
    <w:name w:val="Tekst podstawowy Znak"/>
    <w:basedOn w:val="Domylnaczcionkaakapitu"/>
    <w:link w:val="Tekstpodstawowy"/>
    <w:uiPriority w:val="99"/>
    <w:semiHidden/>
    <w:rsid w:val="00504698"/>
    <w:rPr>
      <w:sz w:val="22"/>
      <w:szCs w:val="22"/>
      <w:lang w:eastAsia="en-US"/>
    </w:rPr>
  </w:style>
  <w:style w:type="paragraph" w:customStyle="1" w:styleId="Standard">
    <w:name w:val="Standard"/>
    <w:rsid w:val="00427956"/>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652">
      <w:bodyDiv w:val="1"/>
      <w:marLeft w:val="0"/>
      <w:marRight w:val="0"/>
      <w:marTop w:val="0"/>
      <w:marBottom w:val="0"/>
      <w:divBdr>
        <w:top w:val="none" w:sz="0" w:space="0" w:color="auto"/>
        <w:left w:val="none" w:sz="0" w:space="0" w:color="auto"/>
        <w:bottom w:val="none" w:sz="0" w:space="0" w:color="auto"/>
        <w:right w:val="none" w:sz="0" w:space="0" w:color="auto"/>
      </w:divBdr>
    </w:div>
    <w:div w:id="1090782037">
      <w:bodyDiv w:val="1"/>
      <w:marLeft w:val="0"/>
      <w:marRight w:val="0"/>
      <w:marTop w:val="0"/>
      <w:marBottom w:val="0"/>
      <w:divBdr>
        <w:top w:val="none" w:sz="0" w:space="0" w:color="auto"/>
        <w:left w:val="none" w:sz="0" w:space="0" w:color="auto"/>
        <w:bottom w:val="none" w:sz="0" w:space="0" w:color="auto"/>
        <w:right w:val="none" w:sz="0" w:space="0" w:color="auto"/>
      </w:divBdr>
    </w:div>
    <w:div w:id="1103113051">
      <w:bodyDiv w:val="1"/>
      <w:marLeft w:val="0"/>
      <w:marRight w:val="0"/>
      <w:marTop w:val="0"/>
      <w:marBottom w:val="0"/>
      <w:divBdr>
        <w:top w:val="none" w:sz="0" w:space="0" w:color="auto"/>
        <w:left w:val="none" w:sz="0" w:space="0" w:color="auto"/>
        <w:bottom w:val="none" w:sz="0" w:space="0" w:color="auto"/>
        <w:right w:val="none" w:sz="0" w:space="0" w:color="auto"/>
      </w:divBdr>
    </w:div>
    <w:div w:id="1525827130">
      <w:bodyDiv w:val="1"/>
      <w:marLeft w:val="0"/>
      <w:marRight w:val="0"/>
      <w:marTop w:val="0"/>
      <w:marBottom w:val="0"/>
      <w:divBdr>
        <w:top w:val="none" w:sz="0" w:space="0" w:color="auto"/>
        <w:left w:val="none" w:sz="0" w:space="0" w:color="auto"/>
        <w:bottom w:val="none" w:sz="0" w:space="0" w:color="auto"/>
        <w:right w:val="none" w:sz="0" w:space="0" w:color="auto"/>
      </w:divBdr>
    </w:div>
    <w:div w:id="159458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aldacz\Desktop\wzory%20pism\ZK+RPO-mon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ZK+RPO-mono</Template>
  <TotalTime>3</TotalTime>
  <Pages>5</Pages>
  <Words>1953</Words>
  <Characters>11719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Tomczak Zgorzelska</dc:creator>
  <cp:lastModifiedBy>Edyta Indulska-Sałdacz</cp:lastModifiedBy>
  <cp:revision>4</cp:revision>
  <cp:lastPrinted>2021-09-24T09:27:00Z</cp:lastPrinted>
  <dcterms:created xsi:type="dcterms:W3CDTF">2022-01-18T09:09:00Z</dcterms:created>
  <dcterms:modified xsi:type="dcterms:W3CDTF">2022-01-18T09:12:00Z</dcterms:modified>
</cp:coreProperties>
</file>