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3701" w14:textId="21AA5B8E" w:rsidR="00014EAC" w:rsidRPr="006E3AEC" w:rsidRDefault="00014EAC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program przygotowany w ramach 9.1.1 może być działaniem, wpisującym się w</w:t>
      </w:r>
      <w:r w:rsidR="00480A51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przeciwdziałanie wykluczeniu zawodowemu, a nie tylko społecznemu - np.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 poprzez dostarczenie umiejętności ważnych na rynku pracy, takich jak np.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 umiejętności komputerowe i językowe?</w:t>
      </w:r>
    </w:p>
    <w:p w14:paraId="67AA1F96" w14:textId="77777777" w:rsidR="006E3AEC" w:rsidRPr="00E901C9" w:rsidRDefault="006E3AEC" w:rsidP="006E3AEC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151D0326" w14:textId="541FF51F" w:rsidR="00014EAC" w:rsidRPr="006E3AEC" w:rsidRDefault="00014EAC" w:rsidP="006E3AEC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Tak. Projekt przygotowany w odpowiedzi na konkurs obok wymaganych działań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zakresu aktywizacji społecznej może przewidywać również  szeroki zakres działań aktywizujących zawodowo</w:t>
      </w:r>
      <w:r w:rsidR="00F375AB" w:rsidRPr="006E3AEC">
        <w:rPr>
          <w:rFonts w:cs="Arial"/>
          <w:color w:val="1F4E79" w:themeColor="accent1" w:themeShade="80"/>
          <w:sz w:val="24"/>
          <w:szCs w:val="24"/>
        </w:rPr>
        <w:t xml:space="preserve">, określonych w Regulaminie konkursu, </w:t>
      </w:r>
      <w:r w:rsidRPr="006E3AEC">
        <w:rPr>
          <w:rFonts w:cs="Arial"/>
          <w:color w:val="1F4E79" w:themeColor="accent1" w:themeShade="80"/>
          <w:sz w:val="24"/>
          <w:szCs w:val="24"/>
        </w:rPr>
        <w:t>w tym takich , które dostarczą umiejętności komputerowych i/lub językowych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</w:p>
    <w:p w14:paraId="67FF051C" w14:textId="77777777" w:rsidR="00014EAC" w:rsidRDefault="00014EAC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opisany powyżej program może być skierowany do grupy seniorów, chcących być aktywnymi na rynku pracy?</w:t>
      </w:r>
    </w:p>
    <w:p w14:paraId="718F4452" w14:textId="77777777" w:rsidR="006E3AEC" w:rsidRPr="00E901C9" w:rsidRDefault="006E3AEC" w:rsidP="006E3AEC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25287D44" w14:textId="7B212163" w:rsidR="00014EAC" w:rsidRPr="006E3AEC" w:rsidRDefault="00014EAC" w:rsidP="006E3AEC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 – pod warunkiem, że wskazani w pytaniu seniorzy będą spełniali kryteria grupy docelowej (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 xml:space="preserve">będą to 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osoby zagrożone 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 xml:space="preserve">ubóstwem lub </w:t>
      </w:r>
      <w:r w:rsidRPr="006E3AEC">
        <w:rPr>
          <w:rFonts w:cs="Arial"/>
          <w:color w:val="1F4E79" w:themeColor="accent1" w:themeShade="80"/>
          <w:sz w:val="24"/>
          <w:szCs w:val="24"/>
        </w:rPr>
        <w:t>wykluczeniem społeczny</w:t>
      </w:r>
      <w:r w:rsidR="00F375AB" w:rsidRPr="006E3AEC">
        <w:rPr>
          <w:rFonts w:cs="Arial"/>
          <w:color w:val="1F4E79" w:themeColor="accent1" w:themeShade="80"/>
          <w:sz w:val="24"/>
          <w:szCs w:val="24"/>
        </w:rPr>
        <w:t>m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) oraz 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>zostanie u nich zdiagnozowana potrzeba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działań z zakresu aktywizacji społecznej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 xml:space="preserve"> i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>zawodowej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</w:p>
    <w:p w14:paraId="2376ABC3" w14:textId="5635CED8" w:rsidR="00DB21A6" w:rsidRPr="006E3AEC" w:rsidRDefault="00014EAC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uczestnik projektu, który po zakończeniu stażu podjął zatrudnienie na 3 m</w:t>
      </w:r>
      <w:r w:rsidR="00193752" w:rsidRPr="006E3AEC">
        <w:rPr>
          <w:rFonts w:cs="Arial"/>
          <w:sz w:val="24"/>
          <w:szCs w:val="24"/>
        </w:rPr>
        <w:t>iesią</w:t>
      </w:r>
      <w:r w:rsidRPr="006E3AEC">
        <w:rPr>
          <w:rFonts w:cs="Arial"/>
          <w:sz w:val="24"/>
          <w:szCs w:val="24"/>
        </w:rPr>
        <w:t>c</w:t>
      </w:r>
      <w:r w:rsidR="00193752" w:rsidRPr="006E3AEC">
        <w:rPr>
          <w:rFonts w:cs="Arial"/>
          <w:sz w:val="24"/>
          <w:szCs w:val="24"/>
        </w:rPr>
        <w:t>e</w:t>
      </w:r>
      <w:r w:rsidRPr="006E3AEC">
        <w:rPr>
          <w:rFonts w:cs="Arial"/>
          <w:sz w:val="24"/>
          <w:szCs w:val="24"/>
        </w:rPr>
        <w:t xml:space="preserve"> i</w:t>
      </w:r>
      <w:r w:rsidR="00AD68D4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nie został wypisany z projektu, ponieważ otrzymywał wsparcie podczas zatrudnienia</w:t>
      </w:r>
      <w:r w:rsidR="00942EA1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</w:t>
      </w:r>
      <w:r w:rsidR="00942EA1">
        <w:rPr>
          <w:rFonts w:cs="Arial"/>
          <w:sz w:val="24"/>
          <w:szCs w:val="24"/>
        </w:rPr>
        <w:t>może zostać wykazany jako spełniający wymogi</w:t>
      </w:r>
      <w:r w:rsidRPr="006E3AEC">
        <w:rPr>
          <w:rFonts w:cs="Arial"/>
          <w:sz w:val="24"/>
          <w:szCs w:val="24"/>
        </w:rPr>
        <w:t xml:space="preserve"> efektywnoś</w:t>
      </w:r>
      <w:r w:rsidR="00942EA1">
        <w:rPr>
          <w:rFonts w:cs="Arial"/>
          <w:sz w:val="24"/>
          <w:szCs w:val="24"/>
        </w:rPr>
        <w:t>ci</w:t>
      </w:r>
      <w:r w:rsidRPr="006E3AEC">
        <w:rPr>
          <w:rFonts w:cs="Arial"/>
          <w:sz w:val="24"/>
          <w:szCs w:val="24"/>
        </w:rPr>
        <w:t xml:space="preserve"> zatrudnieniow</w:t>
      </w:r>
      <w:r w:rsidR="00942EA1">
        <w:rPr>
          <w:rFonts w:cs="Arial"/>
          <w:sz w:val="24"/>
          <w:szCs w:val="24"/>
        </w:rPr>
        <w:t>ej</w:t>
      </w:r>
      <w:r w:rsidRPr="006E3AEC">
        <w:rPr>
          <w:rFonts w:cs="Arial"/>
          <w:sz w:val="24"/>
          <w:szCs w:val="24"/>
        </w:rPr>
        <w:t xml:space="preserve">? </w:t>
      </w:r>
    </w:p>
    <w:p w14:paraId="3EFBB767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3EDD7089" w14:textId="77777777" w:rsidR="00DB21A6" w:rsidRPr="006E3AEC" w:rsidRDefault="00532518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Tak.</w:t>
      </w:r>
    </w:p>
    <w:p w14:paraId="4F09E3F1" w14:textId="5C141A59" w:rsidR="00014EAC" w:rsidRDefault="00450F04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Jeżeli u</w:t>
      </w:r>
      <w:r w:rsidR="00014EAC" w:rsidRPr="006E3AEC">
        <w:rPr>
          <w:rFonts w:cs="Arial"/>
          <w:sz w:val="24"/>
          <w:szCs w:val="24"/>
        </w:rPr>
        <w:t>czestnik</w:t>
      </w:r>
      <w:r>
        <w:rPr>
          <w:rFonts w:cs="Arial"/>
          <w:sz w:val="24"/>
          <w:szCs w:val="24"/>
        </w:rPr>
        <w:t xml:space="preserve"> </w:t>
      </w:r>
      <w:r w:rsidR="00014EAC" w:rsidRPr="006E3AEC">
        <w:rPr>
          <w:rFonts w:cs="Arial"/>
          <w:sz w:val="24"/>
          <w:szCs w:val="24"/>
        </w:rPr>
        <w:t>podjął zatrudnienie po stażu i zakończył udział w</w:t>
      </w:r>
      <w:r w:rsidR="00193752" w:rsidRPr="006E3AEC">
        <w:rPr>
          <w:rFonts w:cs="Arial"/>
          <w:sz w:val="24"/>
          <w:szCs w:val="24"/>
        </w:rPr>
        <w:t> </w:t>
      </w:r>
      <w:r w:rsidR="00014EAC" w:rsidRPr="006E3AEC">
        <w:rPr>
          <w:rFonts w:cs="Arial"/>
          <w:sz w:val="24"/>
          <w:szCs w:val="24"/>
        </w:rPr>
        <w:t>projekcie, ale miesiąc później został zwolniony</w:t>
      </w:r>
      <w:r>
        <w:rPr>
          <w:rFonts w:cs="Arial"/>
          <w:sz w:val="24"/>
          <w:szCs w:val="24"/>
        </w:rPr>
        <w:t>,</w:t>
      </w:r>
      <w:r w:rsidR="00014EAC" w:rsidRPr="006E3AEC">
        <w:rPr>
          <w:rFonts w:cs="Arial"/>
          <w:sz w:val="24"/>
          <w:szCs w:val="24"/>
        </w:rPr>
        <w:t xml:space="preserve"> to czy w t</w:t>
      </w:r>
      <w:r w:rsidR="00DB21A6" w:rsidRPr="006E3AEC">
        <w:rPr>
          <w:rFonts w:cs="Arial"/>
          <w:sz w:val="24"/>
          <w:szCs w:val="24"/>
        </w:rPr>
        <w:t xml:space="preserve">akiej sytuacji jest </w:t>
      </w:r>
      <w:r w:rsidR="000B74BF">
        <w:rPr>
          <w:rFonts w:cs="Arial"/>
          <w:sz w:val="24"/>
          <w:szCs w:val="24"/>
        </w:rPr>
        <w:t xml:space="preserve">spełniona </w:t>
      </w:r>
      <w:r w:rsidR="00DB21A6" w:rsidRPr="006E3AEC">
        <w:rPr>
          <w:rFonts w:cs="Arial"/>
          <w:sz w:val="24"/>
          <w:szCs w:val="24"/>
        </w:rPr>
        <w:t xml:space="preserve">efektywność </w:t>
      </w:r>
      <w:r w:rsidR="00014EAC" w:rsidRPr="006E3AEC">
        <w:rPr>
          <w:rFonts w:cs="Arial"/>
          <w:sz w:val="24"/>
          <w:szCs w:val="24"/>
        </w:rPr>
        <w:t>zatrudnieniowa?</w:t>
      </w:r>
    </w:p>
    <w:p w14:paraId="11B49907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7B25CA43" w14:textId="1DF272F3" w:rsidR="00DB21A6" w:rsidRPr="006E3AEC" w:rsidRDefault="00DB21A6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</w:t>
      </w:r>
      <w:r w:rsidR="00F375AB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="00BF279E" w:rsidRPr="006E3AEC">
        <w:rPr>
          <w:rFonts w:cs="Arial"/>
          <w:color w:val="1F4E79" w:themeColor="accent1" w:themeShade="80"/>
          <w:sz w:val="24"/>
          <w:szCs w:val="24"/>
        </w:rPr>
        <w:t xml:space="preserve"> każde zatrudnienie zgodne z definicją wskaźnika „liczba osób pracujących, łącznie z</w:t>
      </w:r>
      <w:r w:rsidR="00480A51">
        <w:rPr>
          <w:rFonts w:cs="Arial"/>
          <w:color w:val="1F4E79" w:themeColor="accent1" w:themeShade="80"/>
          <w:sz w:val="24"/>
          <w:szCs w:val="24"/>
        </w:rPr>
        <w:t> </w:t>
      </w:r>
      <w:r w:rsidR="00BF279E" w:rsidRPr="006E3AEC">
        <w:rPr>
          <w:rFonts w:cs="Arial"/>
          <w:color w:val="1F4E79" w:themeColor="accent1" w:themeShade="80"/>
          <w:sz w:val="24"/>
          <w:szCs w:val="24"/>
        </w:rPr>
        <w:t xml:space="preserve">prowadzącymi działalność na własny rachunek, po opuszczeniu programu” będzie uznawane za osiągnięcie wskaźnika efektywności zatrudnieniowej.  Pozostałe sposoby realizacji  wskaźnika efektywności zatrudnieniowej zawiera dokument Sposób monitorowania wskaźników efektywności społecznej i efektywności zatrudnieniowej, stanowiący </w:t>
      </w:r>
      <w:r w:rsidR="00BF279E" w:rsidRPr="00942EA1">
        <w:rPr>
          <w:rFonts w:cs="Arial"/>
          <w:color w:val="1F4E79" w:themeColor="accent1" w:themeShade="80"/>
          <w:sz w:val="24"/>
          <w:szCs w:val="24"/>
        </w:rPr>
        <w:t xml:space="preserve">załącznik nr </w:t>
      </w:r>
      <w:r w:rsidR="00942EA1">
        <w:rPr>
          <w:rFonts w:cs="Arial"/>
          <w:color w:val="1F4E79" w:themeColor="accent1" w:themeShade="80"/>
          <w:sz w:val="24"/>
          <w:szCs w:val="24"/>
        </w:rPr>
        <w:t>11</w:t>
      </w:r>
      <w:r w:rsidR="00BF279E" w:rsidRPr="006E3AEC">
        <w:rPr>
          <w:rFonts w:cs="Arial"/>
          <w:color w:val="1F4E79" w:themeColor="accent1" w:themeShade="80"/>
          <w:sz w:val="24"/>
          <w:szCs w:val="24"/>
        </w:rPr>
        <w:t xml:space="preserve"> do Regulaminu konkursu. </w:t>
      </w:r>
    </w:p>
    <w:p w14:paraId="56E1DCA2" w14:textId="77777777" w:rsidR="00F60871" w:rsidRDefault="00CA7397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lastRenderedPageBreak/>
        <w:t>Gdy uczestnik projektu zostaje aresztowany na okres 21 dni to czy powinien zostać wypisany z projektu?</w:t>
      </w:r>
    </w:p>
    <w:p w14:paraId="2831A2C5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653A14D7" w14:textId="452B876F" w:rsidR="00CA7397" w:rsidRPr="00D770AD" w:rsidRDefault="00CA7397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Nie – jeśli aresztowanie nie wpłynie na możliwość kontynuacji uczestnictwa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projekcie (realizacji zaplanowanego wsparcia</w:t>
      </w:r>
      <w:r w:rsidRPr="00D770AD">
        <w:rPr>
          <w:rFonts w:cs="Arial"/>
          <w:color w:val="1F4E79" w:themeColor="accent1" w:themeShade="80"/>
          <w:sz w:val="24"/>
          <w:szCs w:val="24"/>
        </w:rPr>
        <w:t>).</w:t>
      </w:r>
    </w:p>
    <w:p w14:paraId="77D4D8A3" w14:textId="77777777" w:rsidR="00CA7397" w:rsidRPr="006E3AEC" w:rsidRDefault="00CA7397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 stosunku do grupy docelowej projektu istnieje limit wieku ?</w:t>
      </w:r>
    </w:p>
    <w:p w14:paraId="05C5982C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64CA18D6" w14:textId="68058F67" w:rsidR="00C269FF" w:rsidRPr="006E3AEC" w:rsidRDefault="00CA7397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 xml:space="preserve">Nie ma </w:t>
      </w:r>
      <w:r w:rsidR="00BF279E" w:rsidRPr="006E3AEC">
        <w:rPr>
          <w:rFonts w:cs="Arial"/>
          <w:color w:val="1F4E79" w:themeColor="accent1" w:themeShade="80"/>
          <w:sz w:val="24"/>
          <w:szCs w:val="24"/>
        </w:rPr>
        <w:t>górnej granicy wieku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dla uczestników projektu.</w:t>
      </w:r>
      <w:r w:rsidR="00BF279E"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="00C269FF" w:rsidRPr="006E3AEC">
        <w:rPr>
          <w:rFonts w:cs="Arial"/>
          <w:color w:val="1F4E79" w:themeColor="accent1" w:themeShade="80"/>
          <w:sz w:val="24"/>
          <w:szCs w:val="24"/>
        </w:rPr>
        <w:t>Natomiast  w ramach konkursu nie mogą być realizowane projekty skoncentrowane na wsparciu dzieci (osób poniżej 18.</w:t>
      </w:r>
      <w:r w:rsidR="00480A51">
        <w:rPr>
          <w:rFonts w:cs="Arial"/>
          <w:color w:val="1F4E79" w:themeColor="accent1" w:themeShade="80"/>
          <w:sz w:val="24"/>
          <w:szCs w:val="24"/>
        </w:rPr>
        <w:t> </w:t>
      </w:r>
      <w:r w:rsidR="00C269FF" w:rsidRPr="006E3AEC">
        <w:rPr>
          <w:rFonts w:cs="Arial"/>
          <w:color w:val="1F4E79" w:themeColor="accent1" w:themeShade="80"/>
          <w:sz w:val="24"/>
          <w:szCs w:val="24"/>
        </w:rPr>
        <w:t>roku życia), za wyjątkiem projektów przeznaczonych dla osób:</w:t>
      </w:r>
    </w:p>
    <w:p w14:paraId="17E39AA9" w14:textId="1F33B94A" w:rsidR="00942EA1" w:rsidRDefault="00942EA1" w:rsidP="00CA7653">
      <w:pPr>
        <w:pStyle w:val="OdpowiedFAQ"/>
        <w:numPr>
          <w:ilvl w:val="0"/>
          <w:numId w:val="14"/>
        </w:numPr>
        <w:ind w:left="1077"/>
        <w:rPr>
          <w:rFonts w:asciiTheme="minorHAnsi" w:hAnsiTheme="minorHAnsi"/>
        </w:rPr>
      </w:pPr>
      <w:r w:rsidRPr="00942EA1">
        <w:rPr>
          <w:rFonts w:asciiTheme="minorHAnsi" w:hAnsiTheme="minorHAnsi"/>
        </w:rPr>
        <w:t>wspieranych w ramach placówek wsparcia dziennego</w:t>
      </w:r>
      <w:r>
        <w:rPr>
          <w:rFonts w:asciiTheme="minorHAnsi" w:hAnsiTheme="minorHAnsi"/>
        </w:rPr>
        <w:t>;</w:t>
      </w:r>
    </w:p>
    <w:p w14:paraId="3827B830" w14:textId="77777777" w:rsidR="00C269FF" w:rsidRPr="00CA7653" w:rsidRDefault="00C269FF" w:rsidP="00CA7653">
      <w:pPr>
        <w:pStyle w:val="OdpowiedFAQ"/>
        <w:numPr>
          <w:ilvl w:val="0"/>
          <w:numId w:val="14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 xml:space="preserve">będących w pieczy zastępczej i opuszczających tę pieczę; </w:t>
      </w:r>
    </w:p>
    <w:p w14:paraId="66D1D93C" w14:textId="77777777" w:rsidR="00C269FF" w:rsidRPr="00CA7653" w:rsidRDefault="00C269FF" w:rsidP="00CA7653">
      <w:pPr>
        <w:pStyle w:val="OdpowiedFAQ"/>
        <w:numPr>
          <w:ilvl w:val="0"/>
          <w:numId w:val="14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nieletnich, wobec których zastosowano środki zapobiegania i zwalczania demoralizacji i przestępczości;</w:t>
      </w:r>
    </w:p>
    <w:p w14:paraId="1B87BDCC" w14:textId="2C31E5FB" w:rsidR="00CA7397" w:rsidRPr="00CA7653" w:rsidRDefault="00C269FF" w:rsidP="00CA7653">
      <w:pPr>
        <w:pStyle w:val="OdpowiedFAQ"/>
        <w:numPr>
          <w:ilvl w:val="0"/>
          <w:numId w:val="14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przebywających w MOW i MOS.</w:t>
      </w:r>
    </w:p>
    <w:p w14:paraId="3F6928D1" w14:textId="02173044" w:rsidR="00CA7397" w:rsidRPr="006E3AEC" w:rsidRDefault="00CA7397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 ramach projektu uczestnicy mogą otrzymać wsparcie w postaci usługi aktywnej integracji o charakterze społecznym</w:t>
      </w:r>
      <w:r w:rsidR="00AD68D4" w:rsidRPr="006E3AEC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edukacyjnym i zdrowotnym z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pominięciem usług aktywnej integracji o charakterze zawodowym? </w:t>
      </w:r>
    </w:p>
    <w:p w14:paraId="428A2EE9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4C4E7C46" w14:textId="2DFAA151" w:rsidR="00CA7397" w:rsidRPr="00D770AD" w:rsidRDefault="00CA7397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</w:t>
      </w:r>
      <w:r w:rsidR="00C269FF" w:rsidRPr="006E3AEC">
        <w:rPr>
          <w:rFonts w:cs="Arial"/>
          <w:color w:val="1F4E79" w:themeColor="accent1" w:themeShade="80"/>
          <w:sz w:val="24"/>
          <w:szCs w:val="24"/>
        </w:rPr>
        <w:t>, jeśli wynika to z ścieżki wsparcia stworzonej indywidualnie dla każdego uczestnika i</w:t>
      </w:r>
      <w:r w:rsidR="00480A51">
        <w:rPr>
          <w:rFonts w:cs="Arial"/>
          <w:color w:val="1F4E79" w:themeColor="accent1" w:themeShade="80"/>
          <w:sz w:val="24"/>
          <w:szCs w:val="24"/>
        </w:rPr>
        <w:t> </w:t>
      </w:r>
      <w:r w:rsidR="00C269FF" w:rsidRPr="006E3AEC">
        <w:rPr>
          <w:rFonts w:cs="Arial"/>
          <w:color w:val="1F4E79" w:themeColor="accent1" w:themeShade="80"/>
          <w:sz w:val="24"/>
          <w:szCs w:val="24"/>
        </w:rPr>
        <w:t>odpowiadającej na jego potrzeby. Należy pamiętać, że wsparcie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C269FF" w:rsidRPr="006E3AEC">
        <w:rPr>
          <w:rFonts w:cs="Arial"/>
          <w:color w:val="1F4E79" w:themeColor="accent1" w:themeShade="80"/>
          <w:sz w:val="24"/>
          <w:szCs w:val="24"/>
        </w:rPr>
        <w:t>ramach projektu powinno mieć charakter kompleksowy, nieograniczający dostępu do różnych typów usług aktywnej integracji</w:t>
      </w:r>
      <w:r w:rsidRPr="00D770AD">
        <w:rPr>
          <w:rFonts w:cs="Arial"/>
          <w:color w:val="1F4E79" w:themeColor="accent1" w:themeShade="80"/>
          <w:sz w:val="24"/>
          <w:szCs w:val="24"/>
        </w:rPr>
        <w:t>.</w:t>
      </w:r>
    </w:p>
    <w:p w14:paraId="0BDD5352" w14:textId="55B24A56" w:rsidR="00CA7397" w:rsidRPr="006E3AEC" w:rsidRDefault="00CA7397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przy projektach skierowanych do osób z niepełnosprawnościami sprzężonymi,</w:t>
      </w:r>
      <w:r w:rsidR="00AD68D4" w:rsidRPr="006E3AEC">
        <w:rPr>
          <w:rFonts w:cs="Arial"/>
          <w:sz w:val="24"/>
          <w:szCs w:val="24"/>
        </w:rPr>
        <w:t xml:space="preserve"> o</w:t>
      </w:r>
      <w:r w:rsidR="00480A51">
        <w:rPr>
          <w:rFonts w:cs="Arial"/>
          <w:sz w:val="24"/>
          <w:szCs w:val="24"/>
        </w:rPr>
        <w:t> </w:t>
      </w:r>
      <w:r w:rsidR="00AD68D4" w:rsidRPr="006E3AEC">
        <w:rPr>
          <w:rFonts w:cs="Arial"/>
          <w:sz w:val="24"/>
          <w:szCs w:val="24"/>
        </w:rPr>
        <w:t>znacznym stopniu niepełnosprawności,</w:t>
      </w:r>
      <w:r w:rsidRPr="006E3AEC">
        <w:rPr>
          <w:rFonts w:cs="Arial"/>
          <w:sz w:val="24"/>
          <w:szCs w:val="24"/>
        </w:rPr>
        <w:t xml:space="preserve"> wskazanie wskaźnika </w:t>
      </w:r>
      <w:r w:rsidR="000B74BF">
        <w:rPr>
          <w:rFonts w:cs="Arial"/>
          <w:sz w:val="24"/>
          <w:szCs w:val="24"/>
        </w:rPr>
        <w:t>efektywności zatrudnieniowej</w:t>
      </w:r>
      <w:r w:rsidRPr="006E3AEC">
        <w:rPr>
          <w:rFonts w:cs="Arial"/>
          <w:sz w:val="24"/>
          <w:szCs w:val="24"/>
        </w:rPr>
        <w:t xml:space="preserve"> jest obligatoryjne? </w:t>
      </w:r>
    </w:p>
    <w:p w14:paraId="56744349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44D22E61" w14:textId="66B3A7AD" w:rsidR="00CA7397" w:rsidRPr="006E3AEC" w:rsidRDefault="00CA7397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 – jeśli na rzecz t</w:t>
      </w:r>
      <w:r w:rsidR="00AD68D4" w:rsidRPr="006E3AEC">
        <w:rPr>
          <w:rFonts w:cs="Arial"/>
          <w:color w:val="1F4E79" w:themeColor="accent1" w:themeShade="80"/>
          <w:sz w:val="24"/>
          <w:szCs w:val="24"/>
        </w:rPr>
        <w:t>ych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osób realizowane są działania z zakresu aktywizacji zawodowej i</w:t>
      </w:r>
      <w:r w:rsidR="00480A51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jednocześnie nie są one</w:t>
      </w:r>
      <w:r w:rsidR="00151B4A" w:rsidRPr="006E3AEC">
        <w:rPr>
          <w:rFonts w:cs="Arial"/>
          <w:color w:val="1F4E79" w:themeColor="accent1" w:themeShade="80"/>
          <w:sz w:val="24"/>
          <w:szCs w:val="24"/>
        </w:rPr>
        <w:t>: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</w:p>
    <w:p w14:paraId="4E4A24EA" w14:textId="0B6AC6FB" w:rsidR="00CA7397" w:rsidRPr="00CA7653" w:rsidRDefault="00CA7397" w:rsidP="00CA7653">
      <w:pPr>
        <w:pStyle w:val="OdpowiedFAQ"/>
        <w:numPr>
          <w:ilvl w:val="0"/>
          <w:numId w:val="19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lastRenderedPageBreak/>
        <w:t>osobami nieletnimi, wobec których zastosowano środki zapobiegania i zwalczania demoralizacji i przestępczości (ustawa z dnia 26 października 1982 r. o postępowaniu w</w:t>
      </w:r>
      <w:r w:rsidR="00480A51">
        <w:rPr>
          <w:rFonts w:asciiTheme="minorHAnsi" w:hAnsiTheme="minorHAnsi"/>
        </w:rPr>
        <w:t xml:space="preserve"> sprawach nieletnich),</w:t>
      </w:r>
    </w:p>
    <w:p w14:paraId="0D771182" w14:textId="3247FA0E" w:rsidR="00CA7397" w:rsidRPr="00CA7653" w:rsidRDefault="00CA7397" w:rsidP="00CA7653">
      <w:pPr>
        <w:pStyle w:val="OdpowiedFAQ"/>
        <w:numPr>
          <w:ilvl w:val="0"/>
          <w:numId w:val="19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osobami które w ramach projektu lub po zakończeniu jego realizacji po</w:t>
      </w:r>
      <w:r w:rsidR="00480A51">
        <w:rPr>
          <w:rFonts w:asciiTheme="minorHAnsi" w:hAnsiTheme="minorHAnsi"/>
        </w:rPr>
        <w:t>djęły naukę w formach szkolnych,</w:t>
      </w:r>
    </w:p>
    <w:p w14:paraId="2BE75C4E" w14:textId="33DF3B24" w:rsidR="00CA7397" w:rsidRPr="00CA7653" w:rsidRDefault="00CA7397" w:rsidP="00CA7653">
      <w:pPr>
        <w:pStyle w:val="OdpowiedFAQ"/>
        <w:numPr>
          <w:ilvl w:val="0"/>
          <w:numId w:val="19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osobami do 18. roku życia lub w trakcie realizacji obowią</w:t>
      </w:r>
      <w:r w:rsidR="00570119" w:rsidRPr="00CA7653">
        <w:rPr>
          <w:rFonts w:asciiTheme="minorHAnsi" w:hAnsiTheme="minorHAnsi"/>
        </w:rPr>
        <w:t>zku szkolnego i</w:t>
      </w:r>
      <w:r w:rsidR="00193752" w:rsidRPr="00CA7653">
        <w:rPr>
          <w:rFonts w:asciiTheme="minorHAnsi" w:hAnsiTheme="minorHAnsi"/>
        </w:rPr>
        <w:t> </w:t>
      </w:r>
      <w:r w:rsidR="00570119" w:rsidRPr="00CA7653">
        <w:rPr>
          <w:rFonts w:asciiTheme="minorHAnsi" w:hAnsiTheme="minorHAnsi"/>
        </w:rPr>
        <w:t>obowiązku nauki.</w:t>
      </w:r>
    </w:p>
    <w:p w14:paraId="5D173E35" w14:textId="2AA98A56" w:rsidR="00CA7397" w:rsidRPr="006E3AEC" w:rsidRDefault="00CA7397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Jeśli projekt aktywizacyjny jest skierowany do uczestników Warsztatów Terapii Zajęciowej</w:t>
      </w:r>
      <w:r w:rsidR="00480A51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czy istnieje możliwość zmniejszenia dotacji dla warsztatu przez PFRON i</w:t>
      </w:r>
      <w:r w:rsidR="00480A51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Powiat? Co zrobić żeby nie utracić dotacji dla Warsztatu z PFRON i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Powiatu?</w:t>
      </w:r>
    </w:p>
    <w:p w14:paraId="653AE869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0CF352CB" w14:textId="49344865" w:rsidR="00CA7397" w:rsidRPr="00D770AD" w:rsidRDefault="00CA7397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Wiążącej odpowiedzi na te pytania może Państwu udzielić jedynie instytucja któr</w:t>
      </w:r>
      <w:r w:rsidR="000B74BF">
        <w:rPr>
          <w:rFonts w:cs="Arial"/>
          <w:color w:val="1F4E79" w:themeColor="accent1" w:themeShade="80"/>
          <w:sz w:val="24"/>
          <w:szCs w:val="24"/>
        </w:rPr>
        <w:t>a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przyznała i ustaliła zasady udzielonej uprzednio dotacji – w tym wypadku PFRON. </w:t>
      </w:r>
      <w:r w:rsidR="00151B4A" w:rsidRPr="006E3AEC">
        <w:rPr>
          <w:rFonts w:cs="Arial"/>
          <w:color w:val="1F4E79" w:themeColor="accent1" w:themeShade="80"/>
          <w:sz w:val="24"/>
          <w:szCs w:val="24"/>
        </w:rPr>
        <w:t xml:space="preserve">Należy pamiętać, że w ramach projektu nie może dojść do podwójnego finansowania. Oznacza to, </w:t>
      </w:r>
      <w:r w:rsidR="000B74BF">
        <w:rPr>
          <w:rFonts w:cs="Arial"/>
          <w:color w:val="1F4E79" w:themeColor="accent1" w:themeShade="80"/>
          <w:sz w:val="24"/>
          <w:szCs w:val="24"/>
        </w:rPr>
        <w:t xml:space="preserve">że </w:t>
      </w:r>
      <w:r w:rsidR="00151B4A" w:rsidRPr="006E3AEC">
        <w:rPr>
          <w:rFonts w:cs="Arial"/>
          <w:color w:val="1F4E79" w:themeColor="accent1" w:themeShade="80"/>
          <w:sz w:val="24"/>
          <w:szCs w:val="24"/>
        </w:rPr>
        <w:t>ze środków projektu mogą być sfinansowane wyłącznie działania n</w:t>
      </w:r>
      <w:r w:rsidR="006D0145" w:rsidRPr="006E3AEC">
        <w:rPr>
          <w:rFonts w:cs="Arial"/>
          <w:color w:val="1F4E79" w:themeColor="accent1" w:themeShade="80"/>
          <w:sz w:val="24"/>
          <w:szCs w:val="24"/>
        </w:rPr>
        <w:t xml:space="preserve">ie finansowane z innych źródeł (np. zajęcia i warsztaty dotychczas nieoferowane lub objęcie nowych osób zajęciami w ramach </w:t>
      </w:r>
      <w:r w:rsidR="006D0145" w:rsidRPr="00D770AD">
        <w:rPr>
          <w:rFonts w:cs="Arial"/>
          <w:color w:val="1F4E79" w:themeColor="accent1" w:themeShade="80"/>
          <w:sz w:val="24"/>
          <w:szCs w:val="24"/>
        </w:rPr>
        <w:t xml:space="preserve">WTZ). </w:t>
      </w:r>
    </w:p>
    <w:p w14:paraId="0FC57E9F" w14:textId="1F474635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 xml:space="preserve">Zgodnie z </w:t>
      </w:r>
      <w:r w:rsidRPr="00480A51">
        <w:rPr>
          <w:rFonts w:cs="Arial"/>
          <w:sz w:val="24"/>
          <w:szCs w:val="24"/>
        </w:rPr>
        <w:t xml:space="preserve">załącznikiem nr </w:t>
      </w:r>
      <w:r w:rsidR="00480A51">
        <w:rPr>
          <w:rFonts w:cs="Arial"/>
          <w:sz w:val="24"/>
          <w:szCs w:val="24"/>
        </w:rPr>
        <w:t>6</w:t>
      </w:r>
      <w:r w:rsidRPr="006E3AEC">
        <w:rPr>
          <w:rFonts w:cs="Arial"/>
          <w:sz w:val="24"/>
          <w:szCs w:val="24"/>
        </w:rPr>
        <w:t xml:space="preserve"> </w:t>
      </w:r>
      <w:r w:rsidR="00480A51">
        <w:rPr>
          <w:rFonts w:cs="Arial"/>
          <w:sz w:val="24"/>
          <w:szCs w:val="24"/>
        </w:rPr>
        <w:t>Minimalny standard usług i katalog stawek</w:t>
      </w:r>
      <w:r w:rsidRPr="006E3AEC">
        <w:rPr>
          <w:rFonts w:cs="Arial"/>
          <w:sz w:val="24"/>
          <w:szCs w:val="24"/>
        </w:rPr>
        <w:t xml:space="preserve"> „osoba pełniąca w projekcie funkcję doradcy zawodowego powinna posiadać wszelkie niezbędne uprawnienia wynikające m.in. z przepisów ustawy o promocji zatrudnienia i instytucjach rynku pracy, dopuszczające ją do świadczenia usług doradczych zgodnie z przyjętymi standardami realizacji usług rynku pracy.” W wymienione</w:t>
      </w:r>
      <w:r w:rsidR="00480A51">
        <w:rPr>
          <w:rFonts w:cs="Arial"/>
          <w:sz w:val="24"/>
          <w:szCs w:val="24"/>
        </w:rPr>
        <w:t>j</w:t>
      </w:r>
      <w:r w:rsidRPr="006E3AEC">
        <w:rPr>
          <w:rFonts w:cs="Arial"/>
          <w:sz w:val="24"/>
          <w:szCs w:val="24"/>
        </w:rPr>
        <w:t xml:space="preserve"> powyżej ustawie brak jest wzmianki o kwalifikacjach doradcy zawodowego, co jest następstwem dere</w:t>
      </w:r>
      <w:r w:rsidR="00480A51">
        <w:rPr>
          <w:rFonts w:cs="Arial"/>
          <w:sz w:val="24"/>
          <w:szCs w:val="24"/>
        </w:rPr>
        <w:t>gulacji tego zawodu w 2014 roku</w:t>
      </w:r>
      <w:r w:rsidRPr="006E3AEC">
        <w:rPr>
          <w:rFonts w:cs="Arial"/>
          <w:sz w:val="24"/>
          <w:szCs w:val="24"/>
        </w:rPr>
        <w:t>. Deregulacja zniosła wszelkie wymagania związane z tym zawodem</w:t>
      </w:r>
      <w:r w:rsidR="00480A51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jaki</w:t>
      </w:r>
      <w:r w:rsidR="006F7321">
        <w:rPr>
          <w:rFonts w:cs="Arial"/>
          <w:sz w:val="24"/>
          <w:szCs w:val="24"/>
        </w:rPr>
        <w:t>e</w:t>
      </w:r>
      <w:r w:rsidRPr="006E3AEC">
        <w:rPr>
          <w:rFonts w:cs="Arial"/>
          <w:sz w:val="24"/>
          <w:szCs w:val="24"/>
        </w:rPr>
        <w:t xml:space="preserve"> zapisane były we</w:t>
      </w:r>
      <w:r w:rsidR="00193752" w:rsidRPr="006E3AEC">
        <w:rPr>
          <w:rFonts w:cs="Arial"/>
          <w:sz w:val="24"/>
          <w:szCs w:val="24"/>
        </w:rPr>
        <w:t> </w:t>
      </w:r>
      <w:r w:rsidR="00480A51">
        <w:rPr>
          <w:rFonts w:cs="Arial"/>
          <w:sz w:val="24"/>
          <w:szCs w:val="24"/>
        </w:rPr>
        <w:t>wcześniejszych wersjach w</w:t>
      </w:r>
      <w:r w:rsidRPr="006E3AEC">
        <w:rPr>
          <w:rFonts w:cs="Arial"/>
          <w:sz w:val="24"/>
          <w:szCs w:val="24"/>
        </w:rPr>
        <w:t>w</w:t>
      </w:r>
      <w:r w:rsidR="00480A51">
        <w:rPr>
          <w:rFonts w:cs="Arial"/>
          <w:sz w:val="24"/>
          <w:szCs w:val="24"/>
        </w:rPr>
        <w:t>.</w:t>
      </w:r>
      <w:r w:rsidRPr="006E3AEC">
        <w:rPr>
          <w:rFonts w:cs="Arial"/>
          <w:sz w:val="24"/>
          <w:szCs w:val="24"/>
        </w:rPr>
        <w:t xml:space="preserve"> ustawy, a doradztwo zawodowe stało się dziś zawodem otwartym dla osób zainteresowanych jego wykonywaniem. </w:t>
      </w:r>
      <w:r w:rsidRPr="006E3AEC">
        <w:rPr>
          <w:rFonts w:cs="Arial"/>
          <w:sz w:val="24"/>
          <w:szCs w:val="24"/>
        </w:rPr>
        <w:br/>
        <w:t>W związku z powyższym proszę o doprecyzowanie wymagań związanych z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kompetencjami i kwalifikacjami do pełnienia określonych w projekcie zadań?</w:t>
      </w:r>
    </w:p>
    <w:p w14:paraId="5F537E92" w14:textId="77777777" w:rsidR="00CC3E25" w:rsidRPr="00E901C9" w:rsidRDefault="00CC3E25" w:rsidP="00CC3E25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14DFC152" w14:textId="72F9EBC0" w:rsidR="00CA7397" w:rsidRPr="006E3AEC" w:rsidRDefault="00151B4A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D770AD">
        <w:rPr>
          <w:rFonts w:cs="Arial"/>
          <w:color w:val="1F4E79" w:themeColor="accent1" w:themeShade="80"/>
          <w:sz w:val="24"/>
          <w:szCs w:val="24"/>
        </w:rPr>
        <w:t xml:space="preserve">W cytowanym fragmencie jest mowa o uprawnieniach, a nie kwalifikacjach. Prowadzenie poradnictwa zawodowego wymaga wpisu do rejestru podmiotów </w:t>
      </w:r>
      <w:r w:rsidRPr="00D770AD">
        <w:rPr>
          <w:rFonts w:cs="Arial"/>
          <w:color w:val="1F4E79" w:themeColor="accent1" w:themeShade="80"/>
          <w:sz w:val="24"/>
          <w:szCs w:val="24"/>
        </w:rPr>
        <w:lastRenderedPageBreak/>
        <w:t>prowadzących agencje zatrudnienia. Jeśli chodzi o kwalifikacje i doświadczeni</w:t>
      </w:r>
      <w:r w:rsidR="006F7321">
        <w:rPr>
          <w:rFonts w:cs="Arial"/>
          <w:color w:val="1F4E79" w:themeColor="accent1" w:themeShade="80"/>
          <w:sz w:val="24"/>
          <w:szCs w:val="24"/>
        </w:rPr>
        <w:t>e</w:t>
      </w:r>
      <w:r w:rsidRPr="00D770AD">
        <w:rPr>
          <w:rFonts w:cs="Arial"/>
          <w:color w:val="1F4E79" w:themeColor="accent1" w:themeShade="80"/>
          <w:sz w:val="24"/>
          <w:szCs w:val="24"/>
        </w:rPr>
        <w:t>, to</w:t>
      </w:r>
      <w:r w:rsidR="00193752" w:rsidRPr="00D770AD">
        <w:rPr>
          <w:rFonts w:cs="Arial"/>
          <w:color w:val="1F4E79" w:themeColor="accent1" w:themeShade="80"/>
          <w:sz w:val="24"/>
          <w:szCs w:val="24"/>
        </w:rPr>
        <w:t> </w:t>
      </w:r>
      <w:r w:rsidRPr="00D770AD">
        <w:rPr>
          <w:rFonts w:cs="Arial"/>
          <w:color w:val="1F4E79" w:themeColor="accent1" w:themeShade="80"/>
          <w:sz w:val="24"/>
          <w:szCs w:val="24"/>
        </w:rPr>
        <w:t>Wnioskodawca określa, jakie wymagania powinna spełniać kadra projektu, aby</w:t>
      </w:r>
      <w:r w:rsidR="00193752" w:rsidRPr="00D770AD">
        <w:rPr>
          <w:rFonts w:cs="Arial"/>
          <w:color w:val="1F4E79" w:themeColor="accent1" w:themeShade="80"/>
          <w:sz w:val="24"/>
          <w:szCs w:val="24"/>
        </w:rPr>
        <w:t> </w:t>
      </w:r>
      <w:r w:rsidRPr="00D770AD">
        <w:rPr>
          <w:rFonts w:cs="Arial"/>
          <w:color w:val="1F4E79" w:themeColor="accent1" w:themeShade="80"/>
          <w:sz w:val="24"/>
          <w:szCs w:val="24"/>
        </w:rPr>
        <w:t>zapewnić uczestnikom efektywne wsparcie.</w:t>
      </w:r>
    </w:p>
    <w:p w14:paraId="17CACD54" w14:textId="3EF21C01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Jaką formę ma przyjąć wskazana w dokumentacji konkursowej współpraca z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OPS, PCPR, Realizatorami projektów w ramach priorytetu 8 i PUP?</w:t>
      </w:r>
    </w:p>
    <w:p w14:paraId="2ACD08D5" w14:textId="77777777" w:rsidR="00E914D3" w:rsidRPr="00E901C9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01C9">
        <w:rPr>
          <w:rFonts w:asciiTheme="minorHAnsi" w:hAnsiTheme="minorHAnsi"/>
        </w:rPr>
        <w:t>Odpowiedź:</w:t>
      </w:r>
    </w:p>
    <w:p w14:paraId="108CC7C6" w14:textId="29C9CC2D" w:rsidR="00CA7397" w:rsidRPr="006E3AEC" w:rsidRDefault="00B51E53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Wskazana w dokumentacji konkursowej współpraca z OPS, PCPR powinna polegać na</w:t>
      </w:r>
      <w:r w:rsidR="006F7321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wzajemnym przekazaniu informacji o projekcie (grup</w:t>
      </w:r>
      <w:r w:rsidR="004A44EC">
        <w:rPr>
          <w:rFonts w:cs="Arial"/>
          <w:color w:val="1F4E79" w:themeColor="accent1" w:themeShade="80"/>
          <w:sz w:val="24"/>
          <w:szCs w:val="24"/>
        </w:rPr>
        <w:t>y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docelowe, realizowane wsparcie, dane kontaktowe itp.). </w:t>
      </w:r>
      <w:r w:rsidR="005E7B3D" w:rsidRPr="006E3AEC">
        <w:rPr>
          <w:rFonts w:cs="Arial"/>
          <w:color w:val="1F4E79" w:themeColor="accent1" w:themeShade="80"/>
          <w:sz w:val="24"/>
          <w:szCs w:val="24"/>
        </w:rPr>
        <w:t>Wybór technicznego sposobu wymiany informacji należy do Beneficjenta, ważna jest możliwość udokumentowania takich działań.</w:t>
      </w:r>
    </w:p>
    <w:p w14:paraId="2B615A32" w14:textId="01E3BE2A" w:rsidR="00F75BDD" w:rsidRPr="006E3AEC" w:rsidRDefault="00F75BDD" w:rsidP="004A44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Co w przypadku kiedy OPS</w:t>
      </w:r>
      <w:r w:rsidRPr="006E3AEC">
        <w:rPr>
          <w:rFonts w:cs="Arial"/>
          <w:sz w:val="24"/>
          <w:szCs w:val="24"/>
        </w:rPr>
        <w:softHyphen/>
      </w:r>
      <w:r w:rsidRPr="006E3AEC">
        <w:rPr>
          <w:rFonts w:cs="Arial"/>
          <w:sz w:val="24"/>
          <w:szCs w:val="24"/>
        </w:rPr>
        <w:softHyphen/>
        <w:t xml:space="preserve">/PCPR/PUP/Realizatorzy projektów </w:t>
      </w:r>
      <w:r w:rsidR="004A44EC" w:rsidRPr="004A44EC">
        <w:rPr>
          <w:rFonts w:cs="Arial"/>
          <w:sz w:val="24"/>
          <w:szCs w:val="24"/>
        </w:rPr>
        <w:t xml:space="preserve">w ramach priorytetu 8 </w:t>
      </w:r>
      <w:r w:rsidRPr="006E3AEC">
        <w:rPr>
          <w:rFonts w:cs="Arial"/>
          <w:sz w:val="24"/>
          <w:szCs w:val="24"/>
        </w:rPr>
        <w:t>z terenu objętego wsparciem nie będ</w:t>
      </w:r>
      <w:r w:rsidR="001137C3">
        <w:rPr>
          <w:rFonts w:cs="Arial"/>
          <w:sz w:val="24"/>
          <w:szCs w:val="24"/>
        </w:rPr>
        <w:t>ą</w:t>
      </w:r>
      <w:r w:rsidRPr="006E3AEC">
        <w:rPr>
          <w:rFonts w:cs="Arial"/>
          <w:sz w:val="24"/>
          <w:szCs w:val="24"/>
        </w:rPr>
        <w:t xml:space="preserve"> zainteresowan</w:t>
      </w:r>
      <w:r w:rsidR="001137C3">
        <w:rPr>
          <w:rFonts w:cs="Arial"/>
          <w:sz w:val="24"/>
          <w:szCs w:val="24"/>
        </w:rPr>
        <w:t>i</w:t>
      </w:r>
      <w:r w:rsidRPr="006E3AEC">
        <w:rPr>
          <w:rFonts w:cs="Arial"/>
          <w:sz w:val="24"/>
          <w:szCs w:val="24"/>
        </w:rPr>
        <w:t xml:space="preserve"> podjęciem współpracy z</w:t>
      </w:r>
      <w:r w:rsidR="004A44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Wnioskodawcą realizującym projekt w ramach niniejszego konkursu?</w:t>
      </w:r>
    </w:p>
    <w:p w14:paraId="37E32DF5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076EC790" w14:textId="75DE8959" w:rsidR="00F75BDD" w:rsidRPr="006E3AEC" w:rsidRDefault="00F75BDD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 xml:space="preserve">Nic się nie stanie, </w:t>
      </w:r>
      <w:r w:rsidR="005E7B3D" w:rsidRPr="006E3AEC">
        <w:rPr>
          <w:rFonts w:cs="Arial"/>
          <w:color w:val="1F4E79" w:themeColor="accent1" w:themeShade="80"/>
          <w:sz w:val="24"/>
          <w:szCs w:val="24"/>
        </w:rPr>
        <w:t>pod warunkiem, że Beneficjent będzie mógł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udokumentować podjęcie działań na rzecz nawiązania takiej współpracy (</w:t>
      </w:r>
      <w:r w:rsidR="005A1CA6" w:rsidRPr="006E3AEC">
        <w:rPr>
          <w:rFonts w:cs="Arial"/>
          <w:color w:val="1F4E79" w:themeColor="accent1" w:themeShade="80"/>
          <w:sz w:val="24"/>
          <w:szCs w:val="24"/>
        </w:rPr>
        <w:t xml:space="preserve">np. </w:t>
      </w:r>
      <w:r w:rsidR="005E7B3D" w:rsidRPr="006E3AEC">
        <w:rPr>
          <w:rFonts w:cs="Arial"/>
          <w:color w:val="1F4E79" w:themeColor="accent1" w:themeShade="80"/>
          <w:sz w:val="24"/>
          <w:szCs w:val="24"/>
        </w:rPr>
        <w:t xml:space="preserve">będzie </w:t>
      </w:r>
      <w:r w:rsidR="005A1CA6" w:rsidRPr="006E3AEC">
        <w:rPr>
          <w:rFonts w:cs="Arial"/>
          <w:color w:val="1F4E79" w:themeColor="accent1" w:themeShade="80"/>
          <w:sz w:val="24"/>
          <w:szCs w:val="24"/>
        </w:rPr>
        <w:t xml:space="preserve">posiadać </w:t>
      </w:r>
      <w:r w:rsidRPr="006E3AEC">
        <w:rPr>
          <w:rFonts w:cs="Arial"/>
          <w:color w:val="1F4E79" w:themeColor="accent1" w:themeShade="80"/>
          <w:sz w:val="24"/>
          <w:szCs w:val="24"/>
        </w:rPr>
        <w:t>pism</w:t>
      </w:r>
      <w:r w:rsidR="005E7B3D" w:rsidRPr="006E3AEC">
        <w:rPr>
          <w:rFonts w:cs="Arial"/>
          <w:color w:val="1F4E79" w:themeColor="accent1" w:themeShade="80"/>
          <w:sz w:val="24"/>
          <w:szCs w:val="24"/>
        </w:rPr>
        <w:t>a</w:t>
      </w:r>
      <w:r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="005E7B3D" w:rsidRPr="006E3AEC">
        <w:rPr>
          <w:rFonts w:cs="Arial"/>
          <w:color w:val="1F4E79" w:themeColor="accent1" w:themeShade="80"/>
          <w:sz w:val="24"/>
          <w:szCs w:val="24"/>
        </w:rPr>
        <w:t xml:space="preserve"> wydruki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e-maili, notatki ze spotkań).</w:t>
      </w:r>
    </w:p>
    <w:p w14:paraId="23E8EE3F" w14:textId="66EB26F2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 przypad</w:t>
      </w:r>
      <w:r w:rsidR="005E7B3D" w:rsidRPr="006E3AEC">
        <w:rPr>
          <w:rFonts w:cs="Arial"/>
          <w:sz w:val="24"/>
          <w:szCs w:val="24"/>
        </w:rPr>
        <w:t>ku efektywności zatrudnieniowej</w:t>
      </w:r>
      <w:r w:rsidRPr="006E3AEC">
        <w:rPr>
          <w:rFonts w:cs="Arial"/>
          <w:sz w:val="24"/>
          <w:szCs w:val="24"/>
        </w:rPr>
        <w:t xml:space="preserve"> do jej wyliczenia bierze się pod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uwagę również </w:t>
      </w:r>
      <w:r w:rsidR="000B74BF">
        <w:rPr>
          <w:rFonts w:cs="Arial"/>
          <w:sz w:val="24"/>
          <w:szCs w:val="24"/>
        </w:rPr>
        <w:t>u</w:t>
      </w:r>
      <w:r w:rsidRPr="006E3AEC">
        <w:rPr>
          <w:rFonts w:cs="Arial"/>
          <w:sz w:val="24"/>
          <w:szCs w:val="24"/>
        </w:rPr>
        <w:t>czestników projektu którzy uzyskali wsparcie jedynie w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ramach reintegracji społecznej? </w:t>
      </w:r>
    </w:p>
    <w:p w14:paraId="63518AE3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7C85F4DC" w14:textId="77777777" w:rsidR="00354644" w:rsidRPr="006E3AEC" w:rsidRDefault="00354644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Nie.</w:t>
      </w:r>
    </w:p>
    <w:p w14:paraId="03DF89A2" w14:textId="2349B870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 xml:space="preserve">W opisie możliwych do zastosowania instrumentów dla drugiego typu operacji 9.1.A </w:t>
      </w:r>
      <w:r w:rsidR="00AC4666" w:rsidRPr="006E3AEC">
        <w:rPr>
          <w:rFonts w:cs="Arial"/>
          <w:sz w:val="24"/>
          <w:szCs w:val="24"/>
        </w:rPr>
        <w:t>znajduje się między innymi instrument</w:t>
      </w:r>
      <w:r w:rsidRPr="006E3AEC">
        <w:rPr>
          <w:rFonts w:cs="Arial"/>
          <w:sz w:val="24"/>
          <w:szCs w:val="24"/>
        </w:rPr>
        <w:t xml:space="preserve"> </w:t>
      </w:r>
      <w:r w:rsidR="00AC4666" w:rsidRPr="006E3AEC">
        <w:rPr>
          <w:rFonts w:cs="Arial"/>
          <w:sz w:val="24"/>
          <w:szCs w:val="24"/>
        </w:rPr>
        <w:t>„</w:t>
      </w:r>
      <w:r w:rsidRPr="006E3AEC">
        <w:rPr>
          <w:rFonts w:cs="Arial"/>
          <w:sz w:val="24"/>
          <w:szCs w:val="24"/>
        </w:rPr>
        <w:t>wdrożenie/ zastosowanie form i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metod wsparcia indywidualnego i środowiskowego na rzecz integracji zawodowej i społecznej (w tym np.</w:t>
      </w:r>
      <w:r w:rsidR="004A44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środowiskowej pracy socjalnej, centrów aktywizacji zawodowej, animacji lokalnej, streetworkingu, coachingu, treningu pracy)”</w:t>
      </w:r>
      <w:r w:rsidR="00AC4666" w:rsidRPr="006E3AEC">
        <w:rPr>
          <w:rFonts w:cs="Arial"/>
          <w:sz w:val="24"/>
          <w:szCs w:val="24"/>
        </w:rPr>
        <w:t>.</w:t>
      </w:r>
    </w:p>
    <w:p w14:paraId="31AFCE17" w14:textId="3976DB8C" w:rsidR="00F75BDD" w:rsidRPr="006E3AEC" w:rsidRDefault="00F75BDD" w:rsidP="006E3AEC">
      <w:pPr>
        <w:pStyle w:val="Akapitzlist"/>
        <w:tabs>
          <w:tab w:val="left" w:pos="426"/>
        </w:tabs>
        <w:spacing w:after="0" w:line="360" w:lineRule="auto"/>
        <w:ind w:left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 xml:space="preserve">Czy zapis mówiący o treningu pracy jako metodzie wsparcia na rzecz integracji zawodowej i społecznej jest możliwy do zastosowania dla wszystkich odbiorców wsparcia tj. osób z niepełnosprawnościami jak i osób pełnosprawnych jednak </w:t>
      </w:r>
      <w:r w:rsidRPr="006E3AEC">
        <w:rPr>
          <w:rFonts w:cs="Arial"/>
          <w:sz w:val="24"/>
          <w:szCs w:val="24"/>
        </w:rPr>
        <w:lastRenderedPageBreak/>
        <w:t>zagrożonych ubóstwem lub wykluczeniem w związku z innymi przesłankami niż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niepełnosprawność?</w:t>
      </w:r>
    </w:p>
    <w:p w14:paraId="71551691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58EE4649" w14:textId="446E016E" w:rsidR="00CA7397" w:rsidRPr="006E3AEC" w:rsidRDefault="001C561C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Nie, trening pracy jest jedną z form zatrudnienia wspieranego, dedykowanego osobom z</w:t>
      </w:r>
      <w:r w:rsidR="004A44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niepełnosprawnościami</w:t>
      </w:r>
      <w:r w:rsidR="00F35255"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AC4666" w:rsidRPr="006E3AEC">
        <w:rPr>
          <w:rFonts w:cs="Arial"/>
          <w:color w:val="1F4E79" w:themeColor="accent1" w:themeShade="80"/>
          <w:sz w:val="24"/>
          <w:szCs w:val="24"/>
        </w:rPr>
        <w:t xml:space="preserve"> Jest to instrument aktywnej integracji o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AC4666" w:rsidRPr="006E3AEC">
        <w:rPr>
          <w:rFonts w:cs="Arial"/>
          <w:color w:val="1F4E79" w:themeColor="accent1" w:themeShade="80"/>
          <w:sz w:val="24"/>
          <w:szCs w:val="24"/>
        </w:rPr>
        <w:t>charakterze zawodowym.</w:t>
      </w:r>
    </w:p>
    <w:p w14:paraId="57755E01" w14:textId="5F7639A6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Zgodnie z definicją dokumentacji konkursowej osoby lub rodziny zagrożone ubóstwem lub wykluczeniem społecznym są to m.in. osoby lub rodziny korzystające ze świadczeń z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pomocy społecznej zgodnie z ustawą z dnia 12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marca 2004 r. o pomocy społecznej lub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kwalifikujące się do objęcia wsparciem pomocy społecznej, tj. spełniające co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najmniej jedną z przesłanek określonych w art. 7 ustawy z dnia 12 marca 2004</w:t>
      </w:r>
      <w:r w:rsidR="00AC4666" w:rsidRPr="006E3AEC">
        <w:rPr>
          <w:rFonts w:cs="Arial"/>
          <w:sz w:val="24"/>
          <w:szCs w:val="24"/>
        </w:rPr>
        <w:t xml:space="preserve"> r. o</w:t>
      </w:r>
      <w:r w:rsidR="00E72E23">
        <w:rPr>
          <w:rFonts w:cs="Arial"/>
          <w:sz w:val="24"/>
          <w:szCs w:val="24"/>
        </w:rPr>
        <w:t> </w:t>
      </w:r>
      <w:r w:rsidR="00AC4666" w:rsidRPr="006E3AEC">
        <w:rPr>
          <w:rFonts w:cs="Arial"/>
          <w:sz w:val="24"/>
          <w:szCs w:val="24"/>
        </w:rPr>
        <w:t>pomocy społecznej. Artykuł ten wskazuje, że</w:t>
      </w:r>
      <w:r w:rsidRPr="006E3AEC">
        <w:rPr>
          <w:rFonts w:cs="Arial"/>
          <w:sz w:val="24"/>
          <w:szCs w:val="24"/>
        </w:rPr>
        <w:t xml:space="preserve"> pomocy społecznej udziela się osobom i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 xml:space="preserve">rodzinom </w:t>
      </w:r>
      <w:r w:rsidR="00AC4666" w:rsidRPr="006E3AEC">
        <w:rPr>
          <w:rFonts w:cs="Arial"/>
          <w:sz w:val="24"/>
          <w:szCs w:val="24"/>
        </w:rPr>
        <w:t>m.</w:t>
      </w:r>
      <w:r w:rsidR="00193752" w:rsidRPr="006E3AEC">
        <w:rPr>
          <w:rFonts w:cs="Arial"/>
          <w:sz w:val="24"/>
          <w:szCs w:val="24"/>
        </w:rPr>
        <w:t> </w:t>
      </w:r>
      <w:r w:rsidR="00AC4666" w:rsidRPr="006E3AEC">
        <w:rPr>
          <w:rFonts w:cs="Arial"/>
          <w:sz w:val="24"/>
          <w:szCs w:val="24"/>
        </w:rPr>
        <w:t>in.</w:t>
      </w:r>
      <w:r w:rsidR="00193752" w:rsidRPr="006E3AEC">
        <w:rPr>
          <w:rFonts w:cs="Arial"/>
          <w:sz w:val="24"/>
          <w:szCs w:val="24"/>
        </w:rPr>
        <w:t> </w:t>
      </w:r>
      <w:r w:rsidR="00AC4666" w:rsidRPr="006E3AEC">
        <w:rPr>
          <w:rFonts w:cs="Arial"/>
          <w:sz w:val="24"/>
          <w:szCs w:val="24"/>
        </w:rPr>
        <w:t>z powodu bezrobocia (rozumianych jako osoby zarejestrowane w PUP jako bezrobotne).</w:t>
      </w:r>
      <w:r w:rsidR="00AC4666" w:rsidRPr="006E3AEC">
        <w:rPr>
          <w:rFonts w:cs="Arial"/>
          <w:sz w:val="24"/>
          <w:szCs w:val="24"/>
        </w:rPr>
        <w:br/>
        <w:t>Czy</w:t>
      </w:r>
      <w:r w:rsidRPr="006E3AEC">
        <w:rPr>
          <w:rFonts w:cs="Arial"/>
          <w:sz w:val="24"/>
          <w:szCs w:val="24"/>
        </w:rPr>
        <w:t xml:space="preserve"> w przypadku osób bezrobotnych wymienionych w przy</w:t>
      </w:r>
      <w:r w:rsidR="00193752" w:rsidRPr="006E3AEC">
        <w:rPr>
          <w:rFonts w:cs="Arial"/>
          <w:sz w:val="24"/>
          <w:szCs w:val="24"/>
        </w:rPr>
        <w:t>wołanym</w:t>
      </w:r>
      <w:r w:rsidRPr="006E3AEC">
        <w:rPr>
          <w:rFonts w:cs="Arial"/>
          <w:sz w:val="24"/>
          <w:szCs w:val="24"/>
        </w:rPr>
        <w:t xml:space="preserve"> artykule 7 ustawy, nie korzystających z pomocy społecznej, ich status jest wystraczającą przesłanką do</w:t>
      </w:r>
      <w:r w:rsidR="000B74BF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uzyskania wsparcia społeczno-zawodowego w projekcie?</w:t>
      </w:r>
      <w:r w:rsidR="00AC4666" w:rsidRPr="006E3AEC">
        <w:rPr>
          <w:rFonts w:cs="Arial"/>
          <w:sz w:val="24"/>
          <w:szCs w:val="24"/>
        </w:rPr>
        <w:br/>
      </w:r>
      <w:r w:rsidRPr="006E3AEC">
        <w:rPr>
          <w:rFonts w:cs="Arial"/>
          <w:sz w:val="24"/>
          <w:szCs w:val="24"/>
        </w:rPr>
        <w:t>Czy osoby bezrobotne niezarejestrowane w PUP mogą być również brane pod uwagę jako odbiorcy wsparcia społeczno-zawodowego w projekcie planowanym do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realizowania w ramach niniejszego konkursu i w ich przypadku status osoby bezrobotnej, nie korzystając</w:t>
      </w:r>
      <w:r w:rsidR="00AC4666" w:rsidRPr="006E3AEC">
        <w:rPr>
          <w:rFonts w:cs="Arial"/>
          <w:sz w:val="24"/>
          <w:szCs w:val="24"/>
        </w:rPr>
        <w:t>ej</w:t>
      </w:r>
      <w:r w:rsidRPr="006E3AEC">
        <w:rPr>
          <w:rFonts w:cs="Arial"/>
          <w:sz w:val="24"/>
          <w:szCs w:val="24"/>
        </w:rPr>
        <w:t xml:space="preserve"> z pomocy społecznej, jest wystarczającą przesłanką do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uzyskania wsparcia?</w:t>
      </w:r>
    </w:p>
    <w:p w14:paraId="1B1C6B18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4F6055D0" w14:textId="75FB31FD" w:rsidR="00234292" w:rsidRPr="006E3AEC" w:rsidRDefault="004E1FE4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Nie, w przypadku wszystkich osób bezrobotnych (zarejestrowanych i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niezarejestrowanych w PUP) uczestnikami projektu mogą być jedynie osoby, dla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których zastosowanie usług rynku pracy jest niewystarczające i które wymagają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pierwszej kolejności wsparcia o charakterze społecznym.  Musi to wynikać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przeprowadzonej przez Beneficjenta oceny potrzeb i predyspozycji potencjalnego uczestnika.</w:t>
      </w:r>
    </w:p>
    <w:p w14:paraId="612758F9" w14:textId="598CEED5" w:rsidR="00CA7397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lastRenderedPageBreak/>
        <w:t>Czy wsparcie społeczno-zawodowe w ramach projektu mogą uzyskać ubogie osoby pracujące</w:t>
      </w:r>
      <w:r w:rsidR="00AC4666" w:rsidRPr="006E3AEC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które w związku z osiąganymi dochodami korzystają lub mogą korzystać </w:t>
      </w:r>
      <w:r w:rsidR="00AC4666" w:rsidRPr="006E3AEC">
        <w:rPr>
          <w:rFonts w:cs="Arial"/>
          <w:sz w:val="24"/>
          <w:szCs w:val="24"/>
        </w:rPr>
        <w:t xml:space="preserve">z pomocy społecznej </w:t>
      </w:r>
      <w:r w:rsidRPr="006E3AEC">
        <w:rPr>
          <w:rFonts w:cs="Arial"/>
          <w:sz w:val="24"/>
          <w:szCs w:val="24"/>
        </w:rPr>
        <w:t>w związku z przesłanką związana z ubóstwem z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pomocy społecznej?</w:t>
      </w:r>
    </w:p>
    <w:p w14:paraId="1BB24270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3D8D3A0C" w14:textId="77777777" w:rsidR="00CA7397" w:rsidRPr="006E3AEC" w:rsidRDefault="00234292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Tak.</w:t>
      </w:r>
    </w:p>
    <w:p w14:paraId="6DF8C648" w14:textId="44408D6B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wsparcie społeczno-zawodowe w ramach projektu mogą uzyskać osoby pracujące</w:t>
      </w:r>
      <w:r w:rsidR="00AC4666" w:rsidRPr="006E3AEC">
        <w:rPr>
          <w:rFonts w:cs="Arial"/>
          <w:sz w:val="24"/>
          <w:szCs w:val="24"/>
        </w:rPr>
        <w:t>,</w:t>
      </w:r>
      <w:r w:rsidRPr="006E3AEC">
        <w:rPr>
          <w:rFonts w:cs="Arial"/>
          <w:sz w:val="24"/>
          <w:szCs w:val="24"/>
        </w:rPr>
        <w:t xml:space="preserve"> które w związku z długotrwałą lub ciężką chorobą korzystają lub mogą korzystać w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związku z tą w/w przesłanką z pomocy społecznej?</w:t>
      </w:r>
    </w:p>
    <w:p w14:paraId="3333F057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36DD9783" w14:textId="77777777" w:rsidR="00CA7397" w:rsidRPr="006E3AEC" w:rsidRDefault="00234292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</w:t>
      </w:r>
      <w:r w:rsidR="004E1FE4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jeżeli </w:t>
      </w:r>
      <w:r w:rsidR="004E1FE4" w:rsidRPr="006E3AEC">
        <w:rPr>
          <w:rFonts w:cs="Arial"/>
          <w:color w:val="1F4E79" w:themeColor="accent1" w:themeShade="80"/>
          <w:sz w:val="24"/>
          <w:szCs w:val="24"/>
        </w:rPr>
        <w:t>spełniają definicję osoby ubogiej pracującej lub spełniają inną przesłankę zagrożenia wykluczeniem społecznym oraz wskazana w pytaniu przesłanka zdrowotna nie uniemożliwi im korzystania ze wsparcia w projekcie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</w:p>
    <w:p w14:paraId="1D0D125C" w14:textId="52194FCD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wsparcie społeczno-zawodowe w ramach projektu mogą uzyskać osoby bierne zawodowo które w związku z długotrwałą lub ciężką chorobą, potwierdzoną przez zaświadczenia lekarskie, korzystają lub mogą korzystać w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związku z tą przesłanką z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pomocy społecznej?</w:t>
      </w:r>
    </w:p>
    <w:p w14:paraId="43D90E1A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491650F2" w14:textId="0920F059" w:rsidR="00CA7397" w:rsidRPr="006E3AEC" w:rsidRDefault="00234292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Tak</w:t>
      </w:r>
      <w:r w:rsidR="004E1FE4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jeżeli </w:t>
      </w:r>
      <w:r w:rsidR="004E1FE4" w:rsidRPr="006E3AEC">
        <w:rPr>
          <w:rFonts w:cs="Arial"/>
          <w:color w:val="1F4E79" w:themeColor="accent1" w:themeShade="80"/>
          <w:sz w:val="24"/>
          <w:szCs w:val="24"/>
        </w:rPr>
        <w:t>spełniają definicję osoby zagrożonej ubóstwem lub wykluczeniem społecznym oraz wskazana w pytaniu przesłanka zdrowotna nie uniemożliwi im korzystania ze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="004E1FE4" w:rsidRPr="006E3AEC">
        <w:rPr>
          <w:rFonts w:cs="Arial"/>
          <w:color w:val="1F4E79" w:themeColor="accent1" w:themeShade="80"/>
          <w:sz w:val="24"/>
          <w:szCs w:val="24"/>
        </w:rPr>
        <w:t>wsparcia w projekcie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</w:p>
    <w:p w14:paraId="3A52BD97" w14:textId="09670E06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 xml:space="preserve">Czy w przypadku </w:t>
      </w:r>
      <w:r w:rsidR="00037D0C" w:rsidRPr="006E3AEC">
        <w:rPr>
          <w:rFonts w:cs="Arial"/>
          <w:sz w:val="24"/>
          <w:szCs w:val="24"/>
        </w:rPr>
        <w:t>wsparcia w postaci szkoleń lub kursów</w:t>
      </w:r>
      <w:r w:rsidRPr="006E3AEC">
        <w:rPr>
          <w:rFonts w:cs="Arial"/>
          <w:sz w:val="24"/>
          <w:szCs w:val="24"/>
        </w:rPr>
        <w:t xml:space="preserve"> zawodow</w:t>
      </w:r>
      <w:r w:rsidR="00037D0C" w:rsidRPr="006E3AEC">
        <w:rPr>
          <w:rFonts w:cs="Arial"/>
          <w:sz w:val="24"/>
          <w:szCs w:val="24"/>
        </w:rPr>
        <w:t>ych</w:t>
      </w:r>
      <w:r w:rsidRPr="006E3AEC">
        <w:rPr>
          <w:rFonts w:cs="Arial"/>
          <w:sz w:val="24"/>
          <w:szCs w:val="24"/>
        </w:rPr>
        <w:t xml:space="preserve"> obligatoryjne jest zapewnienie </w:t>
      </w:r>
      <w:r w:rsidR="00037D0C" w:rsidRPr="006E3AEC">
        <w:rPr>
          <w:rFonts w:cs="Arial"/>
          <w:sz w:val="24"/>
          <w:szCs w:val="24"/>
        </w:rPr>
        <w:t>u</w:t>
      </w:r>
      <w:r w:rsidRPr="006E3AEC">
        <w:rPr>
          <w:rFonts w:cs="Arial"/>
          <w:sz w:val="24"/>
          <w:szCs w:val="24"/>
        </w:rPr>
        <w:t>czestniczkom i Uczestnikom pr</w:t>
      </w:r>
      <w:r w:rsidR="00037D0C" w:rsidRPr="006E3AEC">
        <w:rPr>
          <w:rFonts w:cs="Arial"/>
          <w:sz w:val="24"/>
          <w:szCs w:val="24"/>
        </w:rPr>
        <w:t>ojektu stypendiów szkoleniowych</w:t>
      </w:r>
      <w:r w:rsidRPr="006E3AEC">
        <w:rPr>
          <w:rFonts w:cs="Arial"/>
          <w:sz w:val="24"/>
          <w:szCs w:val="24"/>
        </w:rPr>
        <w:t>?</w:t>
      </w:r>
    </w:p>
    <w:p w14:paraId="21029475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1D6163F4" w14:textId="6B27ADAD" w:rsidR="00CA7397" w:rsidRPr="006E3AEC" w:rsidRDefault="00411294" w:rsidP="00E72E23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411294">
        <w:rPr>
          <w:rFonts w:cs="Arial"/>
          <w:color w:val="1F4E79" w:themeColor="accent1" w:themeShade="80"/>
          <w:sz w:val="24"/>
          <w:szCs w:val="24"/>
        </w:rPr>
        <w:t>Tak. Wyjątkiem jest sytuacja, gdy uczestnik projektu z własnej woli zrezygnuje z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Pr="00411294">
        <w:rPr>
          <w:rFonts w:cs="Arial"/>
          <w:color w:val="1F4E79" w:themeColor="accent1" w:themeShade="80"/>
          <w:sz w:val="24"/>
          <w:szCs w:val="24"/>
        </w:rPr>
        <w:t>pobierania stypendium</w:t>
      </w:r>
      <w:r w:rsidR="0040230C" w:rsidRPr="00411294">
        <w:rPr>
          <w:rFonts w:cs="Arial"/>
          <w:color w:val="1F4E79" w:themeColor="accent1" w:themeShade="80"/>
          <w:sz w:val="24"/>
          <w:szCs w:val="24"/>
        </w:rPr>
        <w:t>.</w:t>
      </w:r>
      <w:r w:rsidR="008F16E0" w:rsidRPr="00411294">
        <w:rPr>
          <w:rFonts w:cs="Arial"/>
          <w:color w:val="1F4E79" w:themeColor="accent1" w:themeShade="80"/>
          <w:sz w:val="24"/>
          <w:szCs w:val="24"/>
        </w:rPr>
        <w:t xml:space="preserve"> Jeśli natomiast Wnioskodawca uwzględni we wniosku o</w:t>
      </w:r>
      <w:r w:rsidR="00193752" w:rsidRPr="00411294">
        <w:rPr>
          <w:rFonts w:cs="Arial"/>
          <w:color w:val="1F4E79" w:themeColor="accent1" w:themeShade="80"/>
          <w:sz w:val="24"/>
          <w:szCs w:val="24"/>
        </w:rPr>
        <w:t> </w:t>
      </w:r>
      <w:r w:rsidR="008F16E0" w:rsidRPr="00411294">
        <w:rPr>
          <w:rFonts w:cs="Arial"/>
          <w:color w:val="1F4E79" w:themeColor="accent1" w:themeShade="80"/>
          <w:sz w:val="24"/>
          <w:szCs w:val="24"/>
        </w:rPr>
        <w:t>dofinansowanie stypendia szkoleniowe, ich wysokość musi być zgodna z określoną w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="008F16E0" w:rsidRPr="00411294">
        <w:rPr>
          <w:rFonts w:cs="Arial"/>
          <w:color w:val="1F4E79" w:themeColor="accent1" w:themeShade="80"/>
          <w:sz w:val="24"/>
          <w:szCs w:val="24"/>
        </w:rPr>
        <w:t>„Minimalnym standardzie usług i katalogu stawek”</w:t>
      </w:r>
      <w:r w:rsidR="00E72E23">
        <w:rPr>
          <w:rFonts w:cs="Arial"/>
          <w:color w:val="1F4E79" w:themeColor="accent1" w:themeShade="80"/>
          <w:sz w:val="24"/>
          <w:szCs w:val="24"/>
        </w:rPr>
        <w:t xml:space="preserve"> (Załącznik nr 6 do Regulaminu konkursu)</w:t>
      </w:r>
      <w:r w:rsidR="008F16E0" w:rsidRPr="00411294">
        <w:rPr>
          <w:rFonts w:cs="Arial"/>
          <w:color w:val="1F4E79" w:themeColor="accent1" w:themeShade="80"/>
          <w:sz w:val="24"/>
          <w:szCs w:val="24"/>
        </w:rPr>
        <w:t>.</w:t>
      </w:r>
    </w:p>
    <w:p w14:paraId="45DF5AE4" w14:textId="555B600F" w:rsidR="00F75BDD" w:rsidRPr="006E3AEC" w:rsidRDefault="00F75BDD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 przypadku kiedy Wnioskodawca nie przewiduje</w:t>
      </w:r>
      <w:r w:rsidR="006B34D3" w:rsidRPr="006B34D3">
        <w:rPr>
          <w:rFonts w:cs="Arial"/>
          <w:sz w:val="24"/>
          <w:szCs w:val="24"/>
        </w:rPr>
        <w:t xml:space="preserve"> </w:t>
      </w:r>
      <w:r w:rsidR="006B34D3">
        <w:rPr>
          <w:rFonts w:cs="Arial"/>
          <w:sz w:val="24"/>
          <w:szCs w:val="24"/>
        </w:rPr>
        <w:t xml:space="preserve">realizacji </w:t>
      </w:r>
      <w:r w:rsidR="006B34D3" w:rsidRPr="006E3AEC">
        <w:rPr>
          <w:rFonts w:cs="Arial"/>
          <w:sz w:val="24"/>
          <w:szCs w:val="24"/>
        </w:rPr>
        <w:t>wskaźników horyzontalnych</w:t>
      </w:r>
      <w:r w:rsidRPr="006E3AEC">
        <w:rPr>
          <w:rFonts w:cs="Arial"/>
          <w:sz w:val="24"/>
          <w:szCs w:val="24"/>
        </w:rPr>
        <w:t xml:space="preserve">, gdyż nie dotyczą one </w:t>
      </w:r>
      <w:r w:rsidR="00E1378D">
        <w:rPr>
          <w:rFonts w:cs="Arial"/>
          <w:sz w:val="24"/>
          <w:szCs w:val="24"/>
        </w:rPr>
        <w:t>zaplanowanego</w:t>
      </w:r>
      <w:r w:rsidRPr="006E3AEC">
        <w:rPr>
          <w:rFonts w:cs="Arial"/>
          <w:sz w:val="24"/>
          <w:szCs w:val="24"/>
        </w:rPr>
        <w:t xml:space="preserve"> wsparcia</w:t>
      </w:r>
      <w:r w:rsidR="006B34D3" w:rsidRPr="006B34D3">
        <w:rPr>
          <w:rFonts w:cs="Arial"/>
          <w:sz w:val="24"/>
          <w:szCs w:val="24"/>
        </w:rPr>
        <w:t xml:space="preserve"> </w:t>
      </w:r>
      <w:r w:rsidR="006B34D3">
        <w:rPr>
          <w:rFonts w:cs="Arial"/>
          <w:sz w:val="24"/>
          <w:szCs w:val="24"/>
        </w:rPr>
        <w:t>(po</w:t>
      </w:r>
      <w:r w:rsidR="006B34D3" w:rsidRPr="006E3AEC">
        <w:rPr>
          <w:rFonts w:cs="Arial"/>
          <w:sz w:val="24"/>
          <w:szCs w:val="24"/>
        </w:rPr>
        <w:t xml:space="preserve">mimo obowiązku </w:t>
      </w:r>
      <w:r w:rsidR="006B34D3" w:rsidRPr="006E3AEC">
        <w:rPr>
          <w:rFonts w:cs="Arial"/>
          <w:sz w:val="24"/>
          <w:szCs w:val="24"/>
        </w:rPr>
        <w:lastRenderedPageBreak/>
        <w:t>zamieszczenia ich we wniosku</w:t>
      </w:r>
      <w:r w:rsidR="006B34D3">
        <w:rPr>
          <w:rFonts w:cs="Arial"/>
          <w:sz w:val="24"/>
          <w:szCs w:val="24"/>
        </w:rPr>
        <w:t>)</w:t>
      </w:r>
      <w:r w:rsidRPr="006E3AEC">
        <w:rPr>
          <w:rFonts w:cs="Arial"/>
          <w:sz w:val="24"/>
          <w:szCs w:val="24"/>
        </w:rPr>
        <w:t>, trzeba wpisać w nich źródła weryfikacji oraz częstotliwość pomiaru wskaźnika czy wystarczy zamieścić wpis „nie dotyczy”?</w:t>
      </w:r>
    </w:p>
    <w:p w14:paraId="6E7B6E57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5F2F3DF2" w14:textId="7B9C9EDF" w:rsidR="00395736" w:rsidRPr="006E3AEC" w:rsidRDefault="00395736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Obowiązek zamieszczenia we wniosku wskaźników horyzontalnych wynika 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możliwości ich wystąpienia 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w trakcie realizacji projektu, nawet jeśli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nie są one bezpośrednio związane z działaniami realizowanymi w projekcie. Dlatego 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 xml:space="preserve">- 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ponieważ istnieje możliwość wystąpienia wskaźników 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 xml:space="preserve">- </w:t>
      </w:r>
      <w:r w:rsidRPr="006E3AEC">
        <w:rPr>
          <w:rFonts w:cs="Arial"/>
          <w:color w:val="1F4E79" w:themeColor="accent1" w:themeShade="80"/>
          <w:sz w:val="24"/>
          <w:szCs w:val="24"/>
        </w:rPr>
        <w:t>należy określić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jak</w:t>
      </w:r>
      <w:r w:rsidR="009768AB" w:rsidRPr="006E3AEC">
        <w:rPr>
          <w:rFonts w:cs="Arial"/>
          <w:color w:val="1F4E79" w:themeColor="accent1" w:themeShade="80"/>
          <w:sz w:val="24"/>
          <w:szCs w:val="24"/>
        </w:rPr>
        <w:t xml:space="preserve"> i kiedy zostaną zweryfikowane i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="009768AB" w:rsidRPr="006E3AEC">
        <w:rPr>
          <w:rFonts w:cs="Arial"/>
          <w:color w:val="1F4E79" w:themeColor="accent1" w:themeShade="80"/>
          <w:sz w:val="24"/>
          <w:szCs w:val="24"/>
        </w:rPr>
        <w:t>zmierzone.</w:t>
      </w:r>
    </w:p>
    <w:p w14:paraId="53228AEC" w14:textId="6D92D2DA" w:rsidR="00E72E23" w:rsidRDefault="00E72E23" w:rsidP="006E3AEC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 to znaczy, że subsydiowane zatrudnienie może być realizowane tylko przez Powiatowy Urząd Pracy (PUP)?</w:t>
      </w:r>
    </w:p>
    <w:p w14:paraId="752E71C3" w14:textId="77777777" w:rsidR="00E72E23" w:rsidRPr="00E914D3" w:rsidRDefault="00E72E23" w:rsidP="00E72E2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6F38748C" w14:textId="7C391ED6" w:rsidR="00E72E23" w:rsidRPr="00E72E23" w:rsidRDefault="00E72E23" w:rsidP="00E72E23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>
        <w:rPr>
          <w:rFonts w:cs="Arial"/>
          <w:color w:val="1F4E79" w:themeColor="accent1" w:themeShade="80"/>
          <w:sz w:val="24"/>
          <w:szCs w:val="24"/>
        </w:rPr>
        <w:t>W obecnym konkursie nie ma możliwości realizacji subsydiowanego zatrudnienia na</w:t>
      </w:r>
      <w:r w:rsidR="005B54F3">
        <w:rPr>
          <w:rFonts w:cs="Arial"/>
          <w:color w:val="1F4E79" w:themeColor="accent1" w:themeShade="80"/>
          <w:sz w:val="24"/>
          <w:szCs w:val="24"/>
        </w:rPr>
        <w:t> </w:t>
      </w:r>
      <w:r>
        <w:rPr>
          <w:rFonts w:cs="Arial"/>
          <w:color w:val="1F4E79" w:themeColor="accent1" w:themeShade="80"/>
          <w:sz w:val="24"/>
          <w:szCs w:val="24"/>
        </w:rPr>
        <w:t xml:space="preserve">dotychczasowych zasadach. </w:t>
      </w:r>
      <w:r w:rsidR="005B54F3">
        <w:rPr>
          <w:rFonts w:cs="Arial"/>
          <w:color w:val="1F4E79" w:themeColor="accent1" w:themeShade="80"/>
          <w:sz w:val="24"/>
          <w:szCs w:val="24"/>
        </w:rPr>
        <w:t xml:space="preserve">Pod pojęciem „subsydiowanego zatrudnienia” należy rozumieć </w:t>
      </w:r>
      <w:r w:rsidR="005B54F3" w:rsidRPr="005B54F3">
        <w:rPr>
          <w:rFonts w:cs="Arial"/>
          <w:color w:val="1F4E79" w:themeColor="accent1" w:themeShade="80"/>
          <w:sz w:val="24"/>
          <w:szCs w:val="24"/>
        </w:rPr>
        <w:t>wszystkie formy aktywizacji zawodowej</w:t>
      </w:r>
      <w:r w:rsidR="005B54F3">
        <w:rPr>
          <w:rFonts w:cs="Arial"/>
          <w:color w:val="1F4E79" w:themeColor="accent1" w:themeShade="80"/>
          <w:sz w:val="24"/>
          <w:szCs w:val="24"/>
        </w:rPr>
        <w:t xml:space="preserve"> wymienione w ustawie o promocji zatrudnienia i instytucjach rynku pracy</w:t>
      </w:r>
      <w:r w:rsidR="005B54F3" w:rsidRPr="005B54F3">
        <w:rPr>
          <w:rFonts w:cs="Arial"/>
          <w:color w:val="1F4E79" w:themeColor="accent1" w:themeShade="80"/>
          <w:sz w:val="24"/>
          <w:szCs w:val="24"/>
        </w:rPr>
        <w:t>, w ramach których dokonywana jest refundacja części wynagrodzenia pracownika lub składek na ubezpieczenia społeczne należne od</w:t>
      </w:r>
      <w:r w:rsidR="005B54F3">
        <w:rPr>
          <w:rFonts w:cs="Arial"/>
          <w:color w:val="1F4E79" w:themeColor="accent1" w:themeShade="80"/>
          <w:sz w:val="24"/>
          <w:szCs w:val="24"/>
        </w:rPr>
        <w:t> </w:t>
      </w:r>
      <w:r w:rsidR="005B54F3" w:rsidRPr="005B54F3">
        <w:rPr>
          <w:rFonts w:cs="Arial"/>
          <w:color w:val="1F4E79" w:themeColor="accent1" w:themeShade="80"/>
          <w:sz w:val="24"/>
          <w:szCs w:val="24"/>
        </w:rPr>
        <w:t>pracodawcy za skierowanych do pracy bezrobotnych</w:t>
      </w:r>
      <w:r w:rsidR="005B54F3">
        <w:rPr>
          <w:rFonts w:cs="Arial"/>
          <w:color w:val="1F4E79" w:themeColor="accent1" w:themeShade="80"/>
          <w:sz w:val="24"/>
          <w:szCs w:val="24"/>
        </w:rPr>
        <w:t xml:space="preserve">. </w:t>
      </w:r>
      <w:r>
        <w:rPr>
          <w:rFonts w:cs="Arial"/>
          <w:color w:val="1F4E79" w:themeColor="accent1" w:themeShade="80"/>
          <w:sz w:val="24"/>
          <w:szCs w:val="24"/>
        </w:rPr>
        <w:t>Jeżeli zdecydują się Państwo na</w:t>
      </w:r>
      <w:r w:rsidR="005B54F3">
        <w:rPr>
          <w:rFonts w:cs="Arial"/>
          <w:color w:val="1F4E79" w:themeColor="accent1" w:themeShade="80"/>
          <w:sz w:val="24"/>
          <w:szCs w:val="24"/>
        </w:rPr>
        <w:t> </w:t>
      </w:r>
      <w:r>
        <w:rPr>
          <w:rFonts w:cs="Arial"/>
          <w:color w:val="1F4E79" w:themeColor="accent1" w:themeShade="80"/>
          <w:sz w:val="24"/>
          <w:szCs w:val="24"/>
        </w:rPr>
        <w:t>ten typ wsparcia uczestników, to muszą Państwo zaangażować PUP do realizacji projektu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5B54F3">
        <w:rPr>
          <w:rFonts w:cs="Arial"/>
          <w:color w:val="1F4E79" w:themeColor="accent1" w:themeShade="80"/>
          <w:sz w:val="24"/>
          <w:szCs w:val="24"/>
        </w:rPr>
        <w:t xml:space="preserve"> Ponieważ PUP nie ma osobowości prawnej, może wystąpić w projekcie tylko w charakterze tzw. realizatora (innego podmiotu zaangażowanego w realizację projektu), działającego w imieniu powiatu, który będzie Wnioskodawcą lub Partnerem w projekcie.  </w:t>
      </w:r>
    </w:p>
    <w:p w14:paraId="6660A0EB" w14:textId="44309706" w:rsidR="00F75BDD" w:rsidRPr="006E3AEC" w:rsidRDefault="006B34D3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F75BDD" w:rsidRPr="006E3AEC">
        <w:rPr>
          <w:rFonts w:cs="Arial"/>
          <w:sz w:val="24"/>
          <w:szCs w:val="24"/>
        </w:rPr>
        <w:t xml:space="preserve">zy wsparcia de </w:t>
      </w:r>
      <w:proofErr w:type="spellStart"/>
      <w:r w:rsidR="00F75BDD" w:rsidRPr="006E3AEC">
        <w:rPr>
          <w:rFonts w:cs="Arial"/>
          <w:sz w:val="24"/>
          <w:szCs w:val="24"/>
        </w:rPr>
        <w:t>minimis</w:t>
      </w:r>
      <w:proofErr w:type="spellEnd"/>
      <w:r w:rsidR="00F75BDD" w:rsidRPr="006E3AEC">
        <w:rPr>
          <w:rFonts w:cs="Arial"/>
          <w:sz w:val="24"/>
          <w:szCs w:val="24"/>
        </w:rPr>
        <w:t xml:space="preserve"> w postaci doposażenia/wyposażenia miejsca pracy  i/lub subsydiowanego zatrudnienia można udzielić podmiotom nie prowadzącym działalności gospodarczej np.</w:t>
      </w:r>
      <w:r w:rsidR="00193752" w:rsidRPr="006E3AEC">
        <w:rPr>
          <w:rFonts w:cs="Arial"/>
          <w:sz w:val="24"/>
          <w:szCs w:val="24"/>
        </w:rPr>
        <w:t> </w:t>
      </w:r>
      <w:r w:rsidR="00F75BDD" w:rsidRPr="006E3AEC">
        <w:rPr>
          <w:rFonts w:cs="Arial"/>
          <w:sz w:val="24"/>
          <w:szCs w:val="24"/>
        </w:rPr>
        <w:t>stowarzyszeniu?</w:t>
      </w:r>
    </w:p>
    <w:p w14:paraId="1044EB81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3B9AB667" w14:textId="0CC079E5" w:rsidR="00CA7397" w:rsidRPr="006E3AEC" w:rsidRDefault="00D81C8A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 xml:space="preserve">Wsparcie 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jest udzielane uczestnikom projektu, a nie podmiotom. Subsydiowanie </w:t>
      </w:r>
      <w:r w:rsidR="00747597">
        <w:rPr>
          <w:rFonts w:cs="Arial"/>
          <w:color w:val="1F4E79" w:themeColor="accent1" w:themeShade="80"/>
          <w:sz w:val="24"/>
          <w:szCs w:val="24"/>
        </w:rPr>
        <w:t>zatrudnienia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 oraz wyposażenie lub doposażenie miejsca pracy w związku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>zatrudnieniem uczestnika/uczestniczki projektu jest możliwe zarówno w podmiotach prowadzących działalność gospodarczą jak i w innych typach podmiotów (np.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>fundacja, stowarzyszenie, jednostka sektora finansów publicznych)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 Natomiast refundacja 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lastRenderedPageBreak/>
        <w:t>wynagrodzenia lub refundacja doposażenia/wyposażenia miejsca pracy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>związku z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>zatrudnieniem uczestnika/uczestniczki może wiązać się z wystąpieniem pomocy de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proofErr w:type="spellStart"/>
      <w:r w:rsidR="002F7462" w:rsidRPr="006E3AEC">
        <w:rPr>
          <w:rFonts w:cs="Arial"/>
          <w:color w:val="1F4E79" w:themeColor="accent1" w:themeShade="80"/>
          <w:sz w:val="24"/>
          <w:szCs w:val="24"/>
        </w:rPr>
        <w:t>minimis</w:t>
      </w:r>
      <w:proofErr w:type="spellEnd"/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. W ramach konkursu nie przewiduje się możliwości udzielania pomocy publicznej ani pomocy de </w:t>
      </w:r>
      <w:proofErr w:type="spellStart"/>
      <w:r w:rsidR="002F7462" w:rsidRPr="006E3AEC">
        <w:rPr>
          <w:rFonts w:cs="Arial"/>
          <w:color w:val="1F4E79" w:themeColor="accent1" w:themeShade="80"/>
          <w:sz w:val="24"/>
          <w:szCs w:val="24"/>
        </w:rPr>
        <w:t>minimis</w:t>
      </w:r>
      <w:proofErr w:type="spellEnd"/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="006B34D3">
        <w:rPr>
          <w:rFonts w:cs="Arial"/>
          <w:color w:val="1F4E79" w:themeColor="accent1" w:themeShade="80"/>
          <w:sz w:val="24"/>
          <w:szCs w:val="24"/>
        </w:rPr>
        <w:t>W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 xml:space="preserve">nioskodawcy. 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</w:p>
    <w:p w14:paraId="7B7BFABC" w14:textId="2BA2A846" w:rsidR="00F75BDD" w:rsidRPr="006E3AEC" w:rsidRDefault="00F75BDD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efektywność zatrudnieniowa i społeczna powinna zostać określona we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wskaźnikach w formie procentowej przyjętej dla każde</w:t>
      </w:r>
      <w:r w:rsidR="007E7070" w:rsidRPr="006E3AEC">
        <w:rPr>
          <w:rFonts w:cs="Arial"/>
          <w:sz w:val="24"/>
          <w:szCs w:val="24"/>
        </w:rPr>
        <w:t>j z podgrup, czy</w:t>
      </w:r>
      <w:r w:rsidR="00193752" w:rsidRPr="006E3AEC">
        <w:rPr>
          <w:rFonts w:cs="Arial"/>
          <w:sz w:val="24"/>
          <w:szCs w:val="24"/>
        </w:rPr>
        <w:t> </w:t>
      </w:r>
      <w:r w:rsidR="007E7070" w:rsidRPr="006E3AEC">
        <w:rPr>
          <w:rFonts w:cs="Arial"/>
          <w:sz w:val="24"/>
          <w:szCs w:val="24"/>
        </w:rPr>
        <w:t>też</w:t>
      </w:r>
      <w:r w:rsidR="00193752" w:rsidRPr="006E3AEC">
        <w:rPr>
          <w:rFonts w:cs="Arial"/>
          <w:sz w:val="24"/>
          <w:szCs w:val="24"/>
        </w:rPr>
        <w:t> </w:t>
      </w:r>
      <w:r w:rsidR="007E7070" w:rsidRPr="006E3AEC">
        <w:rPr>
          <w:rFonts w:cs="Arial"/>
          <w:sz w:val="24"/>
          <w:szCs w:val="24"/>
        </w:rPr>
        <w:t>powinno się</w:t>
      </w:r>
      <w:r w:rsidRPr="006E3AEC">
        <w:rPr>
          <w:rFonts w:cs="Arial"/>
          <w:sz w:val="24"/>
          <w:szCs w:val="24"/>
        </w:rPr>
        <w:t xml:space="preserve"> wskazać liczby osób w rozbiciu na kobiety i mężczyzn?</w:t>
      </w:r>
    </w:p>
    <w:p w14:paraId="36C42108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18E7D66B" w14:textId="7E991E0B" w:rsidR="007E7070" w:rsidRPr="006E3AEC" w:rsidRDefault="007E7070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 xml:space="preserve">Wskaźnik efektywności społecznej i zatrudnieniowej 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należy zadeklarować do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osiągnięcia w wartościach procentowych, ale określić je w wartościach liczbowych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dla 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każdej z</w:t>
      </w:r>
      <w:r w:rsidR="00E72E23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podgrup objętych pomiarem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bez konieczności rozbijani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>a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ich na kobiety i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>mężczyzn.</w:t>
      </w:r>
      <w:r w:rsidR="0079142F" w:rsidRPr="006E3AEC">
        <w:rPr>
          <w:rFonts w:cs="Arial"/>
          <w:color w:val="1F4E79" w:themeColor="accent1" w:themeShade="80"/>
          <w:sz w:val="24"/>
          <w:szCs w:val="24"/>
        </w:rPr>
        <w:t xml:space="preserve"> Może to mieć jednak wpływ na ocenę spełnienia tzw. standardu minimum w zakresie równości szans kobiet i mężczyzn.</w:t>
      </w:r>
    </w:p>
    <w:p w14:paraId="1A4390D3" w14:textId="66030ADE" w:rsidR="00F75BDD" w:rsidRPr="006E3AEC" w:rsidRDefault="00F75BDD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 xml:space="preserve">W przypadku kiedy Wnioskodawca planuje dla </w:t>
      </w:r>
      <w:r w:rsidR="002F7462" w:rsidRPr="006E3AEC">
        <w:rPr>
          <w:rFonts w:cs="Arial"/>
          <w:sz w:val="24"/>
          <w:szCs w:val="24"/>
        </w:rPr>
        <w:t>u</w:t>
      </w:r>
      <w:r w:rsidRPr="006E3AEC">
        <w:rPr>
          <w:rFonts w:cs="Arial"/>
          <w:sz w:val="24"/>
          <w:szCs w:val="24"/>
        </w:rPr>
        <w:t xml:space="preserve">czestniczek i </w:t>
      </w:r>
      <w:r w:rsidR="002F7462" w:rsidRPr="006E3AEC">
        <w:rPr>
          <w:rFonts w:cs="Arial"/>
          <w:sz w:val="24"/>
          <w:szCs w:val="24"/>
        </w:rPr>
        <w:t>u</w:t>
      </w:r>
      <w:r w:rsidRPr="006E3AEC">
        <w:rPr>
          <w:rFonts w:cs="Arial"/>
          <w:sz w:val="24"/>
          <w:szCs w:val="24"/>
        </w:rPr>
        <w:t>czestników projektu wsparcie np. w postaci staży zawodowych, czy w okresie ich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trwania  kwalifikowane jest udzielanie tym osobom wsparcia społeczno-zawodowego np. w postaci doradztwa psychologicznego lub zawodowego lub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prawnego?</w:t>
      </w:r>
    </w:p>
    <w:p w14:paraId="6289F7FE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00C765BD" w14:textId="2149FF60" w:rsidR="00CA7397" w:rsidRPr="006E3AEC" w:rsidRDefault="00D509EE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Pomoc w postaci wsparcia społeczno-zawodowego np. doradztwo: psychologiczne, zawodowe, prawne może być realizowane w trakcie realizacji innych działań projektowych</w:t>
      </w:r>
      <w:r w:rsidR="0036024E" w:rsidRPr="006E3AEC">
        <w:rPr>
          <w:rFonts w:cs="Arial"/>
          <w:color w:val="1F4E79" w:themeColor="accent1" w:themeShade="80"/>
          <w:sz w:val="24"/>
          <w:szCs w:val="24"/>
        </w:rPr>
        <w:t xml:space="preserve"> (np. staży)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dla tej samej grupy uczestników projektu</w:t>
      </w:r>
      <w:r w:rsidR="002F7462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o ile jest to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celowe, racjonalne i efektywne.  </w:t>
      </w:r>
    </w:p>
    <w:p w14:paraId="6EF12F50" w14:textId="15A8D5ED" w:rsidR="00F75BDD" w:rsidRPr="006E3AEC" w:rsidRDefault="00F75BDD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Czy w ramach planowanych usług społecznych świadczonych w interesie ogólnym w</w:t>
      </w:r>
      <w:r w:rsidR="00E72E23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typie operacji 9.1.A, Wnioskodawca może zaplanować, zgodne z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indywidualnymi potrzebami grupy docelowej, wsparcie w zakresie:</w:t>
      </w:r>
    </w:p>
    <w:p w14:paraId="35B109F9" w14:textId="1E010905" w:rsidR="00F75BDD" w:rsidRPr="001120EE" w:rsidRDefault="00F75BDD" w:rsidP="00E72E23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usług stomatologiczne</w:t>
      </w:r>
      <w:r w:rsidR="002F7462" w:rsidRPr="001120EE">
        <w:rPr>
          <w:rFonts w:eastAsia="Calibri" w:cs="Arial"/>
          <w:sz w:val="24"/>
          <w:szCs w:val="24"/>
        </w:rPr>
        <w:t>,</w:t>
      </w:r>
      <w:r w:rsidRPr="001120EE">
        <w:rPr>
          <w:rFonts w:eastAsia="Calibri" w:cs="Arial"/>
          <w:sz w:val="24"/>
          <w:szCs w:val="24"/>
        </w:rPr>
        <w:t xml:space="preserve"> </w:t>
      </w:r>
    </w:p>
    <w:p w14:paraId="63D85D50" w14:textId="28C3D5E4" w:rsidR="00F75BDD" w:rsidRPr="001120EE" w:rsidRDefault="00F75BDD" w:rsidP="00E72E23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usługi medyczne (ogólne i specjalistyczne)</w:t>
      </w:r>
      <w:r w:rsidR="002F7462" w:rsidRPr="001120EE">
        <w:rPr>
          <w:rFonts w:eastAsia="Calibri" w:cs="Arial"/>
          <w:sz w:val="24"/>
          <w:szCs w:val="24"/>
        </w:rPr>
        <w:t>,</w:t>
      </w:r>
    </w:p>
    <w:p w14:paraId="7E80A751" w14:textId="7BF153D5" w:rsidR="00F75BDD" w:rsidRPr="001120EE" w:rsidRDefault="00F75BDD" w:rsidP="00E72E23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usług fizjoterapeutyczne</w:t>
      </w:r>
      <w:r w:rsidR="002F7462" w:rsidRPr="001120EE">
        <w:rPr>
          <w:rFonts w:eastAsia="Calibri" w:cs="Arial"/>
          <w:sz w:val="24"/>
          <w:szCs w:val="24"/>
        </w:rPr>
        <w:t>,</w:t>
      </w:r>
    </w:p>
    <w:p w14:paraId="289FC5CA" w14:textId="742A0192" w:rsidR="00F75BDD" w:rsidRPr="001120EE" w:rsidRDefault="00F75BDD" w:rsidP="00E72E23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usług dietetyczne</w:t>
      </w:r>
      <w:r w:rsidR="002F7462" w:rsidRPr="001120EE">
        <w:rPr>
          <w:rFonts w:eastAsia="Calibri" w:cs="Arial"/>
          <w:sz w:val="24"/>
          <w:szCs w:val="24"/>
        </w:rPr>
        <w:t>,</w:t>
      </w:r>
    </w:p>
    <w:p w14:paraId="14739780" w14:textId="0A8B2D29" w:rsidR="00F75BDD" w:rsidRPr="001120EE" w:rsidRDefault="00F75BDD" w:rsidP="00E72E23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usług w zakresie poprawy wizerunku osobistego (np. kosmetyczne, wizażu, stylizacji)</w:t>
      </w:r>
      <w:r w:rsidR="002F7462" w:rsidRPr="001120EE">
        <w:rPr>
          <w:rFonts w:eastAsia="Calibri" w:cs="Arial"/>
          <w:sz w:val="24"/>
          <w:szCs w:val="24"/>
        </w:rPr>
        <w:t>.</w:t>
      </w:r>
    </w:p>
    <w:p w14:paraId="6AEF5271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lastRenderedPageBreak/>
        <w:t>Odpowiedź:</w:t>
      </w:r>
    </w:p>
    <w:p w14:paraId="3E867EB6" w14:textId="48C455B5" w:rsidR="002D36C9" w:rsidRPr="006E3AEC" w:rsidRDefault="0079142F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 xml:space="preserve">Nie. Usługi społeczne świadczone w interesie ogólnym są rozumiane 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>zgodnie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 xml:space="preserve">rozumieniem usług społecznych z „Wytycznych 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>w zakresie realizacji przedsięwzięć w</w:t>
      </w:r>
      <w:r w:rsidR="0093560D">
        <w:rPr>
          <w:rFonts w:cs="Arial"/>
          <w:color w:val="1F4E79" w:themeColor="accent1" w:themeShade="80"/>
          <w:sz w:val="24"/>
          <w:szCs w:val="24"/>
        </w:rPr>
        <w:t> 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>obszarze włączenia społecznego i zwalczania ubóstwa z wykorzystaniem środków Europejskiego Funduszu Społecznego i Europejskiego Funduszu Rozwoju Regionalnego na lata 2014-2020”. Do usług tych zaliczamy m. in. usługi asystenckie, usługi opiekuńcze, usługi wsparcia rodziny i pieczy zastępczej, usługi w postaci mieszkań chronionych lub</w:t>
      </w:r>
      <w:r w:rsidR="0093560D">
        <w:rPr>
          <w:rFonts w:cs="Arial"/>
          <w:color w:val="1F4E79" w:themeColor="accent1" w:themeShade="80"/>
          <w:sz w:val="24"/>
          <w:szCs w:val="24"/>
        </w:rPr>
        <w:t> 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>wspomaganych. Usługi te mogą być świadczone w ramach konkursu, o ile wynikają one z potrzeb danego uczestnika projektu lub jego otoczenia i służą wyłącznie zaspokojeniu tych potrzeb, a nie rozwojowi danego typu usług. Przykład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>y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 xml:space="preserve"> 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>zastosowania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 xml:space="preserve"> usług społecznych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 xml:space="preserve"> w ramach konkursu</w:t>
      </w:r>
      <w:r w:rsidR="002D36C9" w:rsidRPr="006E3AEC">
        <w:rPr>
          <w:rFonts w:cs="Arial"/>
          <w:color w:val="1F4E79" w:themeColor="accent1" w:themeShade="80"/>
          <w:sz w:val="24"/>
          <w:szCs w:val="24"/>
        </w:rPr>
        <w:t>:</w:t>
      </w:r>
    </w:p>
    <w:p w14:paraId="48B7D1CD" w14:textId="18C2DAFB" w:rsidR="002D36C9" w:rsidRPr="00CA7653" w:rsidRDefault="002D36C9" w:rsidP="00CA7653">
      <w:pPr>
        <w:pStyle w:val="OdpowiedFAQ"/>
        <w:numPr>
          <w:ilvl w:val="0"/>
          <w:numId w:val="20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sfinansowanie osobie z niepełnosprawnością usług asystenta osobistego, tłumacza języka migowego, zakupu specjalistycznego oprogramowania itp., w</w:t>
      </w:r>
      <w:r w:rsidR="00193752" w:rsidRPr="00CA7653">
        <w:rPr>
          <w:rFonts w:asciiTheme="minorHAnsi" w:hAnsiTheme="minorHAnsi"/>
        </w:rPr>
        <w:t> </w:t>
      </w:r>
      <w:r w:rsidRPr="00CA7653">
        <w:rPr>
          <w:rFonts w:asciiTheme="minorHAnsi" w:hAnsiTheme="minorHAnsi"/>
        </w:rPr>
        <w:t>celu umożliwienia pełnoprawnego uczestnictwa w projekcie,</w:t>
      </w:r>
    </w:p>
    <w:p w14:paraId="4EF87C77" w14:textId="77777777" w:rsidR="002D36C9" w:rsidRPr="00CA7653" w:rsidRDefault="00B62210" w:rsidP="00CA7653">
      <w:pPr>
        <w:pStyle w:val="OdpowiedFAQ"/>
        <w:numPr>
          <w:ilvl w:val="0"/>
          <w:numId w:val="20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sfinansowanie usług opiekuńczych dla osoby zależnej w celu umożliwienia uczestnikowi korzystania ze wsparcia,</w:t>
      </w:r>
    </w:p>
    <w:p w14:paraId="2DCBB6A6" w14:textId="652E05EB" w:rsidR="002D36C9" w:rsidRPr="00CA7653" w:rsidRDefault="00B62210" w:rsidP="00CA7653">
      <w:pPr>
        <w:pStyle w:val="OdpowiedFAQ"/>
        <w:numPr>
          <w:ilvl w:val="0"/>
          <w:numId w:val="20"/>
        </w:numPr>
        <w:ind w:left="1077"/>
        <w:rPr>
          <w:rFonts w:asciiTheme="minorHAnsi" w:hAnsiTheme="minorHAnsi"/>
        </w:rPr>
      </w:pPr>
      <w:r w:rsidRPr="00CA7653">
        <w:rPr>
          <w:rFonts w:asciiTheme="minorHAnsi" w:hAnsiTheme="minorHAnsi"/>
        </w:rPr>
        <w:t>zapewnienie dziecku uczestnika opieki w placówce opiekuńczo-wychowawczej w</w:t>
      </w:r>
      <w:r w:rsidR="0093560D">
        <w:rPr>
          <w:rFonts w:asciiTheme="minorHAnsi" w:hAnsiTheme="minorHAnsi"/>
        </w:rPr>
        <w:t> </w:t>
      </w:r>
      <w:r w:rsidRPr="00CA7653">
        <w:rPr>
          <w:rFonts w:asciiTheme="minorHAnsi" w:hAnsiTheme="minorHAnsi"/>
        </w:rPr>
        <w:t>celu umożliwienia uczestnikowi korzystania ze wsparcia.</w:t>
      </w:r>
    </w:p>
    <w:p w14:paraId="18503FC2" w14:textId="3EA2D6F2" w:rsidR="002F7462" w:rsidRPr="006E3AEC" w:rsidRDefault="002F7462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Możliw</w:t>
      </w:r>
      <w:r w:rsidR="0093560D">
        <w:rPr>
          <w:rFonts w:cs="Arial"/>
          <w:color w:val="1F4E79" w:themeColor="accent1" w:themeShade="80"/>
          <w:sz w:val="24"/>
          <w:szCs w:val="24"/>
        </w:rPr>
        <w:t>e</w:t>
      </w:r>
      <w:r w:rsidRPr="006E3AEC">
        <w:rPr>
          <w:rFonts w:cs="Arial"/>
          <w:color w:val="1F4E79" w:themeColor="accent1" w:themeShade="80"/>
          <w:sz w:val="24"/>
          <w:szCs w:val="24"/>
        </w:rPr>
        <w:t xml:space="preserve"> jest natomiast 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>korzystani</w:t>
      </w:r>
      <w:r w:rsidR="0093560D">
        <w:rPr>
          <w:rFonts w:cs="Arial"/>
          <w:color w:val="1F4E79" w:themeColor="accent1" w:themeShade="80"/>
          <w:sz w:val="24"/>
          <w:szCs w:val="24"/>
        </w:rPr>
        <w:t>e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 xml:space="preserve"> z porad dietetyka lub poradnictwa w zakresie poprawy wizerunku w ramach treningów kompetencji i umiejętności społecznych. Nie</w:t>
      </w:r>
      <w:r w:rsidR="0093560D">
        <w:rPr>
          <w:rFonts w:cs="Arial"/>
          <w:color w:val="1F4E79" w:themeColor="accent1" w:themeShade="80"/>
          <w:sz w:val="24"/>
          <w:szCs w:val="24"/>
        </w:rPr>
        <w:t> 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>jest to jednak wprost korzystanie z usług wizażysty, stylisty, fryzjera czy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>dietetyka. Trening ma na celu wyposażenie uczestnika/uczestniczki w wiedzę i  umiejętności niezbędne do uczestnictwa w życiu społecznym i zawodowym (jak  dbać o siebie, jak się ubrać na różne okazje, jakie są ogólne zasady prawidłowego żywienia itp.).</w:t>
      </w:r>
    </w:p>
    <w:p w14:paraId="3266372F" w14:textId="77777777" w:rsidR="00E72E23" w:rsidRDefault="00852B7E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5" w:hanging="425"/>
        <w:rPr>
          <w:rFonts w:cs="Arial"/>
          <w:sz w:val="24"/>
          <w:szCs w:val="24"/>
        </w:rPr>
      </w:pPr>
      <w:r w:rsidRPr="006E3AEC">
        <w:rPr>
          <w:rFonts w:cs="Arial"/>
          <w:sz w:val="24"/>
          <w:szCs w:val="24"/>
        </w:rPr>
        <w:t>M</w:t>
      </w:r>
      <w:r w:rsidR="00F75BDD" w:rsidRPr="006E3AEC">
        <w:rPr>
          <w:rFonts w:cs="Arial"/>
          <w:sz w:val="24"/>
          <w:szCs w:val="24"/>
        </w:rPr>
        <w:t>inimalnego standard</w:t>
      </w:r>
      <w:r w:rsidRPr="006E3AEC">
        <w:rPr>
          <w:rFonts w:cs="Arial"/>
          <w:sz w:val="24"/>
          <w:szCs w:val="24"/>
        </w:rPr>
        <w:t xml:space="preserve"> usług dla konkursu zawiera zapis:</w:t>
      </w:r>
      <w:r w:rsidR="00F75BDD" w:rsidRPr="006E3AEC">
        <w:rPr>
          <w:rFonts w:cs="Arial"/>
          <w:sz w:val="24"/>
          <w:szCs w:val="24"/>
        </w:rPr>
        <w:t xml:space="preserve"> „</w:t>
      </w:r>
      <w:r w:rsidRPr="006E3AEC">
        <w:rPr>
          <w:rFonts w:cs="Arial"/>
          <w:sz w:val="24"/>
          <w:szCs w:val="24"/>
        </w:rPr>
        <w:t>w</w:t>
      </w:r>
      <w:r w:rsidR="00F75BDD" w:rsidRPr="006E3AEC">
        <w:rPr>
          <w:rFonts w:cs="Arial"/>
          <w:sz w:val="24"/>
          <w:szCs w:val="24"/>
        </w:rPr>
        <w:t xml:space="preserve"> ramach konkursu wsparcie jest kierowane do osób bezrobotnych, wobec których zastosowanie wyłącznie</w:t>
      </w:r>
      <w:r w:rsidR="000B74BF">
        <w:rPr>
          <w:rFonts w:cs="Arial"/>
          <w:sz w:val="24"/>
          <w:szCs w:val="24"/>
        </w:rPr>
        <w:t xml:space="preserve"> </w:t>
      </w:r>
      <w:r w:rsidR="00F75BDD" w:rsidRPr="006E3AEC">
        <w:rPr>
          <w:rFonts w:cs="Arial"/>
          <w:sz w:val="24"/>
          <w:szCs w:val="24"/>
        </w:rPr>
        <w:t>instrumentów i usług rynku pracy jest niewystarczające i istnieje konieczność zastosowania w pierwszej kolejności usług aktywnej inte</w:t>
      </w:r>
      <w:r w:rsidRPr="006E3AEC">
        <w:rPr>
          <w:rFonts w:cs="Arial"/>
          <w:sz w:val="24"/>
          <w:szCs w:val="24"/>
        </w:rPr>
        <w:t>gracji o</w:t>
      </w:r>
      <w:r w:rsidR="00193752" w:rsidRPr="006E3AEC">
        <w:rPr>
          <w:rFonts w:cs="Arial"/>
          <w:sz w:val="24"/>
          <w:szCs w:val="24"/>
        </w:rPr>
        <w:t> </w:t>
      </w:r>
      <w:r w:rsidRPr="006E3AEC">
        <w:rPr>
          <w:rFonts w:cs="Arial"/>
          <w:sz w:val="24"/>
          <w:szCs w:val="24"/>
        </w:rPr>
        <w:t>charakterze społecznym</w:t>
      </w:r>
      <w:r w:rsidR="00F75BDD" w:rsidRPr="006E3AEC">
        <w:rPr>
          <w:rFonts w:cs="Arial"/>
          <w:sz w:val="24"/>
          <w:szCs w:val="24"/>
        </w:rPr>
        <w:t>”</w:t>
      </w:r>
      <w:r w:rsidRPr="006E3AEC">
        <w:rPr>
          <w:rFonts w:cs="Arial"/>
          <w:sz w:val="24"/>
          <w:szCs w:val="24"/>
        </w:rPr>
        <w:t xml:space="preserve">. </w:t>
      </w:r>
      <w:r w:rsidR="00F75BDD" w:rsidRPr="006E3AEC">
        <w:rPr>
          <w:rFonts w:cs="Arial"/>
          <w:sz w:val="24"/>
          <w:szCs w:val="24"/>
        </w:rPr>
        <w:t>Proszę o odpowiedź na poniższe pytania:</w:t>
      </w:r>
    </w:p>
    <w:p w14:paraId="05BEF1B5" w14:textId="747D43F0" w:rsidR="00CA7397" w:rsidRPr="00E72E23" w:rsidRDefault="00F75BDD" w:rsidP="00E72E23">
      <w:pPr>
        <w:tabs>
          <w:tab w:val="left" w:pos="426"/>
        </w:tabs>
        <w:spacing w:line="360" w:lineRule="auto"/>
        <w:ind w:left="360"/>
        <w:rPr>
          <w:rFonts w:cs="Arial"/>
          <w:sz w:val="24"/>
          <w:szCs w:val="24"/>
        </w:rPr>
      </w:pPr>
      <w:r w:rsidRPr="00E72E23">
        <w:rPr>
          <w:rFonts w:eastAsia="Calibri" w:cs="Arial"/>
          <w:sz w:val="24"/>
          <w:szCs w:val="24"/>
        </w:rPr>
        <w:t>a) Czy uczestnikiem projektu mogą być wyłącznie osoby o statusie osób bezrobotnych?</w:t>
      </w:r>
      <w:r w:rsidRPr="00E72E23">
        <w:rPr>
          <w:rFonts w:cs="Arial"/>
          <w:sz w:val="24"/>
          <w:szCs w:val="24"/>
        </w:rPr>
        <w:t xml:space="preserve"> </w:t>
      </w:r>
    </w:p>
    <w:p w14:paraId="372D039A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lastRenderedPageBreak/>
        <w:t>Odpowiedź:</w:t>
      </w:r>
    </w:p>
    <w:p w14:paraId="2BCE8813" w14:textId="12E6FD6C" w:rsidR="00CA7397" w:rsidRPr="006E3AEC" w:rsidRDefault="0036024E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Nie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>, mogą to być osoby bierne zawodowo, bezrobotne i pracujące, o ile spełniają przesłankę osoby zagrożonej ubóstwem lub wykluczeniem społecznym</w:t>
      </w:r>
      <w:r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 xml:space="preserve">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>przypadku osób bezrobotnych sformułowano dodatkowy wymóg – potrzeby wsparcia w pierwszej kolejności usługami społecznymi – w celu zbadania, czy dany uczestnik powinien być wspierany w ramach projektów Celu Tematycznego 8 Rynek pracy czy Celu Tematycznego 9 Włączenie społeczne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B62210" w:rsidRPr="006E3AEC">
        <w:rPr>
          <w:rFonts w:cs="Arial"/>
          <w:color w:val="1F4E79" w:themeColor="accent1" w:themeShade="80"/>
          <w:sz w:val="24"/>
          <w:szCs w:val="24"/>
        </w:rPr>
        <w:t xml:space="preserve">  </w:t>
      </w:r>
    </w:p>
    <w:p w14:paraId="2D46F953" w14:textId="29C6B431" w:rsidR="00CA7397" w:rsidRPr="00CA7653" w:rsidRDefault="00F75BDD" w:rsidP="00E72E23">
      <w:pPr>
        <w:tabs>
          <w:tab w:val="left" w:pos="426"/>
        </w:tabs>
        <w:spacing w:line="360" w:lineRule="auto"/>
        <w:ind w:left="360"/>
        <w:rPr>
          <w:rFonts w:eastAsia="Calibri" w:cs="Arial"/>
          <w:sz w:val="24"/>
          <w:szCs w:val="24"/>
        </w:rPr>
      </w:pPr>
      <w:r w:rsidRPr="00CA7653">
        <w:rPr>
          <w:rFonts w:eastAsia="Calibri" w:cs="Arial"/>
          <w:sz w:val="24"/>
          <w:szCs w:val="24"/>
        </w:rPr>
        <w:t>b) Jakie działania, zdaniem IOK, powinien przedsięwziąć Realizator w celu spełnieni</w:t>
      </w:r>
      <w:r w:rsidR="00852B7E" w:rsidRPr="00CA7653">
        <w:rPr>
          <w:rFonts w:eastAsia="Calibri" w:cs="Arial"/>
          <w:sz w:val="24"/>
          <w:szCs w:val="24"/>
        </w:rPr>
        <w:t>a</w:t>
      </w:r>
      <w:r w:rsidRPr="00CA7653">
        <w:rPr>
          <w:rFonts w:eastAsia="Calibri" w:cs="Arial"/>
          <w:sz w:val="24"/>
          <w:szCs w:val="24"/>
        </w:rPr>
        <w:t xml:space="preserve"> w/w wymogu? Czy dla osób bezrobotnych wymagane jest dokonanie diagnozy na etapie rekrutacji w przedmiotowym zakresie? Jeśli tak, to czy koszty diagnozy można zaplanować w kosztach bezpośrednich wniosku?</w:t>
      </w:r>
    </w:p>
    <w:p w14:paraId="54F00E13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1160AB16" w14:textId="70F9CD92" w:rsidR="00324651" w:rsidRPr="006E3AEC" w:rsidRDefault="00631BE8" w:rsidP="00D770AD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W przypadku osób bezrobotnych należy indywidualnie zweryfikować potrzebę zastosowania dla nich w pierwszej kolejności usług aktywnej integracji o charakterze społecznym</w:t>
      </w:r>
      <w:r w:rsidR="00DF10DD" w:rsidRPr="006E3AEC">
        <w:rPr>
          <w:rFonts w:cs="Arial"/>
          <w:color w:val="1F4E79" w:themeColor="accent1" w:themeShade="80"/>
          <w:sz w:val="24"/>
          <w:szCs w:val="24"/>
        </w:rPr>
        <w:t>. W</w:t>
      </w:r>
      <w:r w:rsidR="00066B65" w:rsidRPr="006E3AEC">
        <w:rPr>
          <w:rFonts w:cs="Arial"/>
          <w:color w:val="1F4E79" w:themeColor="accent1" w:themeShade="80"/>
          <w:sz w:val="24"/>
          <w:szCs w:val="24"/>
        </w:rPr>
        <w:t xml:space="preserve"> odniesieniu do rzeczywistych uczestników projektu koszty takiej diagnozy mogą być ujęte w ramach kosztów bezpośrednich</w:t>
      </w:r>
      <w:r w:rsidR="001C561C" w:rsidRPr="006E3AEC">
        <w:rPr>
          <w:rFonts w:cs="Arial"/>
          <w:color w:val="1F4E79" w:themeColor="accent1" w:themeShade="80"/>
          <w:sz w:val="24"/>
          <w:szCs w:val="24"/>
        </w:rPr>
        <w:t>, natomiast standardowe, pozamerytoryczne koszty związane z rekrutacją nadal powinny być finansowane w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1C561C" w:rsidRPr="006E3AEC">
        <w:rPr>
          <w:rFonts w:cs="Arial"/>
          <w:color w:val="1F4E79" w:themeColor="accent1" w:themeShade="80"/>
          <w:sz w:val="24"/>
          <w:szCs w:val="24"/>
        </w:rPr>
        <w:t>ramach kosztów pośrednich</w:t>
      </w:r>
      <w:r w:rsidR="00066B65" w:rsidRPr="006E3AEC">
        <w:rPr>
          <w:rFonts w:cs="Arial"/>
          <w:color w:val="1F4E79" w:themeColor="accent1" w:themeShade="80"/>
          <w:sz w:val="24"/>
          <w:szCs w:val="24"/>
        </w:rPr>
        <w:t>.</w:t>
      </w:r>
    </w:p>
    <w:p w14:paraId="791B76E0" w14:textId="642B451C" w:rsidR="00F75BDD" w:rsidRPr="00E72E23" w:rsidRDefault="00F75BDD" w:rsidP="00E72E23">
      <w:pPr>
        <w:tabs>
          <w:tab w:val="left" w:pos="426"/>
        </w:tabs>
        <w:spacing w:line="360" w:lineRule="auto"/>
        <w:ind w:left="360"/>
        <w:rPr>
          <w:rFonts w:eastAsia="Calibri" w:cs="Arial"/>
          <w:sz w:val="24"/>
          <w:szCs w:val="24"/>
        </w:rPr>
      </w:pPr>
      <w:r w:rsidRPr="00E72E23">
        <w:rPr>
          <w:rFonts w:eastAsia="Calibri" w:cs="Arial"/>
          <w:sz w:val="24"/>
          <w:szCs w:val="24"/>
        </w:rPr>
        <w:t>c) Czy osoby bierne zawodowo są wykluczone z udziału w projekcie? Czy osoby bierne zawodowo również należy zdiagnozować we wskazanym w zapisie minimalnego standardu zakresie?</w:t>
      </w:r>
    </w:p>
    <w:p w14:paraId="1E3A6790" w14:textId="77777777" w:rsidR="00E914D3" w:rsidRPr="00E914D3" w:rsidRDefault="00E914D3" w:rsidP="00E914D3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E914D3">
        <w:rPr>
          <w:rFonts w:asciiTheme="minorHAnsi" w:hAnsiTheme="minorHAnsi"/>
        </w:rPr>
        <w:t>Odpowiedź:</w:t>
      </w:r>
    </w:p>
    <w:p w14:paraId="4F6AEAE1" w14:textId="53C1997F" w:rsidR="000B74BF" w:rsidRDefault="00066B65" w:rsidP="000B74BF">
      <w:pPr>
        <w:tabs>
          <w:tab w:val="left" w:pos="284"/>
        </w:tabs>
        <w:spacing w:line="360" w:lineRule="auto"/>
        <w:ind w:left="426"/>
        <w:contextualSpacing/>
        <w:rPr>
          <w:rFonts w:cs="Arial"/>
          <w:sz w:val="24"/>
          <w:szCs w:val="24"/>
        </w:rPr>
      </w:pPr>
      <w:r w:rsidRPr="006E3AEC">
        <w:rPr>
          <w:rFonts w:cs="Arial"/>
          <w:color w:val="1F4E79" w:themeColor="accent1" w:themeShade="80"/>
          <w:sz w:val="24"/>
          <w:szCs w:val="24"/>
        </w:rPr>
        <w:t>Osoby bierne zawodowo</w:t>
      </w:r>
      <w:r w:rsidR="00B126BC" w:rsidRPr="006E3AEC">
        <w:rPr>
          <w:rFonts w:cs="Arial"/>
          <w:color w:val="1F4E79" w:themeColor="accent1" w:themeShade="80"/>
          <w:sz w:val="24"/>
          <w:szCs w:val="24"/>
        </w:rPr>
        <w:t xml:space="preserve"> mogą być uczestnikami projektu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>,</w:t>
      </w:r>
      <w:r w:rsidR="00B126BC" w:rsidRPr="006E3AEC">
        <w:rPr>
          <w:rFonts w:cs="Arial"/>
          <w:color w:val="1F4E79" w:themeColor="accent1" w:themeShade="80"/>
          <w:sz w:val="24"/>
          <w:szCs w:val="24"/>
        </w:rPr>
        <w:t xml:space="preserve"> o ile wpisują się w grupę odbiorców wsparcia określoną w regulaminie projektu (spełniają któreś z</w:t>
      </w:r>
      <w:r w:rsidR="00193752" w:rsidRPr="006E3AEC">
        <w:rPr>
          <w:rFonts w:cs="Arial"/>
          <w:color w:val="1F4E79" w:themeColor="accent1" w:themeShade="80"/>
          <w:sz w:val="24"/>
          <w:szCs w:val="24"/>
        </w:rPr>
        <w:t> </w:t>
      </w:r>
      <w:r w:rsidR="00B126BC" w:rsidRPr="006E3AEC">
        <w:rPr>
          <w:rFonts w:cs="Arial"/>
          <w:color w:val="1F4E79" w:themeColor="accent1" w:themeShade="80"/>
          <w:sz w:val="24"/>
          <w:szCs w:val="24"/>
        </w:rPr>
        <w:t>wymienionych tam przesłanek</w:t>
      </w:r>
      <w:r w:rsidR="001C561C" w:rsidRPr="006E3AEC">
        <w:rPr>
          <w:rFonts w:cs="Arial"/>
          <w:color w:val="1F4E79" w:themeColor="accent1" w:themeShade="80"/>
          <w:sz w:val="24"/>
          <w:szCs w:val="24"/>
        </w:rPr>
        <w:t xml:space="preserve"> zagrożenia ubóstwem lub wykluczeniem społecznym</w:t>
      </w:r>
      <w:r w:rsidR="00B126BC" w:rsidRPr="006E3AEC">
        <w:rPr>
          <w:rFonts w:cs="Arial"/>
          <w:color w:val="1F4E79" w:themeColor="accent1" w:themeShade="80"/>
          <w:sz w:val="24"/>
          <w:szCs w:val="24"/>
        </w:rPr>
        <w:t xml:space="preserve">). W takim wypadku </w:t>
      </w:r>
      <w:r w:rsidR="00DF10DD" w:rsidRPr="006E3AEC">
        <w:rPr>
          <w:rFonts w:cs="Arial"/>
          <w:color w:val="1F4E79" w:themeColor="accent1" w:themeShade="80"/>
          <w:sz w:val="24"/>
          <w:szCs w:val="24"/>
        </w:rPr>
        <w:t>nie ma potrzeby dodatkowego (specjalnego) diagnozowania konieczności realizacji na ich rzecz usług o charakterze społecznym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 xml:space="preserve"> na etapie rekrutacji do projektu</w:t>
      </w:r>
      <w:r w:rsidR="00DF10DD" w:rsidRPr="006E3AEC">
        <w:rPr>
          <w:rFonts w:cs="Arial"/>
          <w:color w:val="1F4E79" w:themeColor="accent1" w:themeShade="80"/>
          <w:sz w:val="24"/>
          <w:szCs w:val="24"/>
        </w:rPr>
        <w:t>.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 xml:space="preserve"> Jednakże potrzeby</w:t>
      </w:r>
      <w:r w:rsidR="00EC0C68" w:rsidRPr="006E3AEC">
        <w:rPr>
          <w:rFonts w:cs="Arial"/>
          <w:color w:val="1F4E79" w:themeColor="accent1" w:themeShade="80"/>
          <w:sz w:val="24"/>
          <w:szCs w:val="24"/>
        </w:rPr>
        <w:t>, możliwości i oczekiwania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 xml:space="preserve"> takiej osoby i tak będą musiały być rozpoznane w ramach wsparcia projektowego, w celu ustalenia indywidualnej ścieżki </w:t>
      </w:r>
      <w:r w:rsidR="00EC0C68" w:rsidRPr="006E3AEC">
        <w:rPr>
          <w:rFonts w:cs="Arial"/>
          <w:color w:val="1F4E79" w:themeColor="accent1" w:themeShade="80"/>
          <w:sz w:val="24"/>
          <w:szCs w:val="24"/>
        </w:rPr>
        <w:t>reintegracji (np. przez psychologa, doradcę zawodowego, pracownika socjalnego lub inną osobę, mającą wiedzę i umiejętności niezbędne, by taką diagnozę przeprowadzić)</w:t>
      </w:r>
      <w:r w:rsidR="00852B7E" w:rsidRPr="006E3AEC">
        <w:rPr>
          <w:rFonts w:cs="Arial"/>
          <w:color w:val="1F4E79" w:themeColor="accent1" w:themeShade="80"/>
          <w:sz w:val="24"/>
          <w:szCs w:val="24"/>
        </w:rPr>
        <w:t>.</w:t>
      </w:r>
    </w:p>
    <w:p w14:paraId="3EDE4F6F" w14:textId="57216188" w:rsidR="000B74BF" w:rsidRPr="000B74BF" w:rsidRDefault="0093560D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</w:t>
      </w:r>
      <w:r w:rsidR="000B74BF" w:rsidRPr="000B74BF">
        <w:rPr>
          <w:rFonts w:cs="Arial"/>
          <w:sz w:val="24"/>
          <w:szCs w:val="24"/>
        </w:rPr>
        <w:t xml:space="preserve">zy koszt kontraktu socjalnego przypadającego na  jednego uczestnika projektu jest dowolny? </w:t>
      </w:r>
    </w:p>
    <w:p w14:paraId="719A23B2" w14:textId="77777777" w:rsidR="000B74BF" w:rsidRPr="001120EE" w:rsidRDefault="000B74BF" w:rsidP="001120EE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1120EE">
        <w:rPr>
          <w:rFonts w:asciiTheme="minorHAnsi" w:hAnsiTheme="minorHAnsi"/>
        </w:rPr>
        <w:t>Odpowiedź:</w:t>
      </w:r>
    </w:p>
    <w:p w14:paraId="415863B7" w14:textId="77777777" w:rsidR="000B74BF" w:rsidRPr="000B74BF" w:rsidRDefault="000B74BF" w:rsidP="000B74B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B74BF">
        <w:rPr>
          <w:rFonts w:cs="Arial"/>
          <w:color w:val="1F4E79" w:themeColor="accent1" w:themeShade="80"/>
          <w:sz w:val="24"/>
          <w:szCs w:val="24"/>
        </w:rPr>
        <w:t>Nie ma z góry ustalonej kwoty, jaka może przypadać na jeden kontrakt socjalny. Koszt ten może być różny dla różnych uczestników i będzie wynosił tyle, ile suma kosztów poszczególnych form wsparcia, z których będzie korzystał dany uczestnik i jego otoczenie w ramach indywidualnie ustalonej ścieżki reintegracji. Dlatego planując budżet, powinniście Państwo oszacować koszt realizacji poszczególnych instrumentów aktywnej integracji, a nie uśredniony koszt wsparcia uczestnika (wartość kontraktu).</w:t>
      </w:r>
    </w:p>
    <w:p w14:paraId="76F64DA7" w14:textId="5B580E2F" w:rsidR="000B74BF" w:rsidRPr="000B74BF" w:rsidRDefault="000B74BF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0B74BF">
        <w:rPr>
          <w:rFonts w:cs="Arial"/>
          <w:sz w:val="24"/>
          <w:szCs w:val="24"/>
        </w:rPr>
        <w:t>zy w typie operacji 9.1.A na rzecz integracji społeczno-zawodowej, wsparcie o</w:t>
      </w:r>
      <w:r w:rsidR="0093560D">
        <w:rPr>
          <w:rFonts w:cs="Arial"/>
          <w:sz w:val="24"/>
          <w:szCs w:val="24"/>
        </w:rPr>
        <w:t> </w:t>
      </w:r>
      <w:r w:rsidRPr="000B74BF">
        <w:rPr>
          <w:rFonts w:cs="Arial"/>
          <w:sz w:val="24"/>
          <w:szCs w:val="24"/>
        </w:rPr>
        <w:t>charakterze zawodowym  jest możliwe wyłącznie przez podmioty wyspecjalizowane tj.</w:t>
      </w:r>
      <w:r>
        <w:rPr>
          <w:rFonts w:cs="Arial"/>
          <w:sz w:val="24"/>
          <w:szCs w:val="24"/>
        </w:rPr>
        <w:t xml:space="preserve"> </w:t>
      </w:r>
      <w:r w:rsidRPr="000B74BF">
        <w:rPr>
          <w:rFonts w:cs="Arial"/>
          <w:sz w:val="24"/>
          <w:szCs w:val="24"/>
        </w:rPr>
        <w:t xml:space="preserve">KIS, który mamy w strukturach </w:t>
      </w:r>
      <w:r>
        <w:rPr>
          <w:rFonts w:cs="Arial"/>
          <w:sz w:val="24"/>
          <w:szCs w:val="24"/>
        </w:rPr>
        <w:t>ośrodka pomocy społecznej (OPS)</w:t>
      </w:r>
      <w:r w:rsidRPr="000B74BF">
        <w:rPr>
          <w:rFonts w:cs="Arial"/>
          <w:sz w:val="24"/>
          <w:szCs w:val="24"/>
        </w:rPr>
        <w:t>? Czy uczestnicy, którzy będą realizować wsparcie zawodowe</w:t>
      </w:r>
      <w:r w:rsidR="00782EFE">
        <w:rPr>
          <w:rFonts w:cs="Arial"/>
          <w:sz w:val="24"/>
          <w:szCs w:val="24"/>
        </w:rPr>
        <w:t>,</w:t>
      </w:r>
      <w:r w:rsidRPr="000B74BF">
        <w:rPr>
          <w:rFonts w:cs="Arial"/>
          <w:sz w:val="24"/>
          <w:szCs w:val="24"/>
        </w:rPr>
        <w:t xml:space="preserve"> powinni być skierowani do KIS i działania te będą realizowan</w:t>
      </w:r>
      <w:r w:rsidR="00782EFE">
        <w:rPr>
          <w:rFonts w:cs="Arial"/>
          <w:sz w:val="24"/>
          <w:szCs w:val="24"/>
        </w:rPr>
        <w:t>e</w:t>
      </w:r>
      <w:r w:rsidRPr="000B74BF">
        <w:rPr>
          <w:rFonts w:cs="Arial"/>
          <w:sz w:val="24"/>
          <w:szCs w:val="24"/>
        </w:rPr>
        <w:t xml:space="preserve"> w ramach uczestnictwa w KIS? Czy możemy je wdrażać samodzielnie jako OPS? </w:t>
      </w:r>
    </w:p>
    <w:p w14:paraId="620DE844" w14:textId="77777777" w:rsidR="000B74BF" w:rsidRPr="001120EE" w:rsidRDefault="000B74BF" w:rsidP="001120EE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1120EE">
        <w:rPr>
          <w:rFonts w:asciiTheme="minorHAnsi" w:hAnsiTheme="minorHAnsi"/>
        </w:rPr>
        <w:t>Odpowiedź:</w:t>
      </w:r>
    </w:p>
    <w:p w14:paraId="4A94686C" w14:textId="4393E8C4" w:rsidR="000B74BF" w:rsidRPr="000B74BF" w:rsidRDefault="00782EFE" w:rsidP="000B74B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>
        <w:rPr>
          <w:rFonts w:cs="Arial"/>
          <w:color w:val="1F4E79" w:themeColor="accent1" w:themeShade="80"/>
          <w:sz w:val="24"/>
          <w:szCs w:val="24"/>
        </w:rPr>
        <w:t>Jako OPS n</w:t>
      </w:r>
      <w:r w:rsidR="000B74BF" w:rsidRPr="000B74BF">
        <w:rPr>
          <w:rFonts w:cs="Arial"/>
          <w:color w:val="1F4E79" w:themeColor="accent1" w:themeShade="80"/>
          <w:sz w:val="24"/>
          <w:szCs w:val="24"/>
        </w:rPr>
        <w:t>ie możecie Państwo samodzielnie wdrażać usług aktywnej integracji o</w:t>
      </w:r>
      <w:r>
        <w:rPr>
          <w:rFonts w:cs="Arial"/>
          <w:color w:val="1F4E79" w:themeColor="accent1" w:themeShade="80"/>
          <w:sz w:val="24"/>
          <w:szCs w:val="24"/>
        </w:rPr>
        <w:t> </w:t>
      </w:r>
      <w:r w:rsidR="000B74BF" w:rsidRPr="000B74BF">
        <w:rPr>
          <w:rFonts w:cs="Arial"/>
          <w:color w:val="1F4E79" w:themeColor="accent1" w:themeShade="80"/>
          <w:sz w:val="24"/>
          <w:szCs w:val="24"/>
        </w:rPr>
        <w:t>charakterze zawodowym. W ramach konkursu realizacja wsparcia o charakterze zawodowym jest możliwa do realizacji nie tylko przez KIS, ale także przez inne wyspecjalizowane podmioty, które w projekcie mogą być realizatorem, partnerem albo</w:t>
      </w:r>
      <w:r>
        <w:rPr>
          <w:rFonts w:cs="Arial"/>
          <w:color w:val="1F4E79" w:themeColor="accent1" w:themeShade="80"/>
          <w:sz w:val="24"/>
          <w:szCs w:val="24"/>
        </w:rPr>
        <w:t> </w:t>
      </w:r>
      <w:r w:rsidR="000B74BF" w:rsidRPr="000B74BF">
        <w:rPr>
          <w:rFonts w:cs="Arial"/>
          <w:color w:val="1F4E79" w:themeColor="accent1" w:themeShade="80"/>
          <w:sz w:val="24"/>
          <w:szCs w:val="24"/>
        </w:rPr>
        <w:t xml:space="preserve">wykonawcą wybranym na zasadach dotyczących udzielania zamówień określonych w Wytycznych w zakresie kwalifikowalności wydatków w ramach Europejskiego Funduszu Rozwoju Regionalnego, Europejskiego Funduszu Społecznego oraz Funduszu Spójności na lata 2014-2020 lub w drodze zlecenia zadania publicznego zgodnie z ustawą o działalności pożytku publicznego i wolontariacie. </w:t>
      </w:r>
    </w:p>
    <w:p w14:paraId="3A76CA68" w14:textId="18276A74" w:rsidR="000B74BF" w:rsidRPr="000B74BF" w:rsidRDefault="000B74BF" w:rsidP="000B74B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B74BF">
        <w:rPr>
          <w:rFonts w:cs="Arial"/>
          <w:color w:val="1F4E79" w:themeColor="accent1" w:themeShade="80"/>
          <w:sz w:val="24"/>
          <w:szCs w:val="24"/>
        </w:rPr>
        <w:t xml:space="preserve">Zgodnie z Regulaminem konkursu „Jeżeli beneficjentem projektu będzie Ośrodek Pomocy Społecznej lub Powiatowe Centrum Pomocy Rodzinie wówczas realizacja projektu odbywa się ze szczególnym uwzględnieniem </w:t>
      </w:r>
      <w:r w:rsidRPr="000B74BF">
        <w:rPr>
          <w:rFonts w:cs="Arial"/>
          <w:b/>
          <w:bCs/>
          <w:color w:val="1F4E79" w:themeColor="accent1" w:themeShade="80"/>
          <w:sz w:val="24"/>
          <w:szCs w:val="24"/>
        </w:rPr>
        <w:t>Podrozdziału 4.6 Wytycznych w</w:t>
      </w:r>
      <w:r w:rsidR="00782EFE">
        <w:rPr>
          <w:rFonts w:cs="Arial"/>
          <w:b/>
          <w:bCs/>
          <w:color w:val="1F4E79" w:themeColor="accent1" w:themeShade="80"/>
          <w:sz w:val="24"/>
          <w:szCs w:val="24"/>
        </w:rPr>
        <w:t> </w:t>
      </w:r>
      <w:r w:rsidRPr="000B74BF">
        <w:rPr>
          <w:rFonts w:cs="Arial"/>
          <w:b/>
          <w:bCs/>
          <w:color w:val="1F4E79" w:themeColor="accent1" w:themeShade="80"/>
          <w:sz w:val="24"/>
          <w:szCs w:val="24"/>
        </w:rPr>
        <w:t>zakresie realizacji przedsięwzięć w obszarze włączenia społecznego i zwalczania ubóstwa</w:t>
      </w:r>
      <w:r w:rsidRPr="000B74BF">
        <w:rPr>
          <w:rFonts w:cs="Arial"/>
          <w:color w:val="1F4E79" w:themeColor="accent1" w:themeShade="80"/>
          <w:sz w:val="24"/>
          <w:szCs w:val="24"/>
        </w:rPr>
        <w:t xml:space="preserve"> z wykorzystaniem środków Europejskiego Funduszu Społecznego i Europejskiego Funduszu Rozwoju Regionalnego na lata 2014-2020”. Kwestia wyboru </w:t>
      </w:r>
      <w:r w:rsidRPr="000B74BF">
        <w:rPr>
          <w:rFonts w:cs="Arial"/>
          <w:color w:val="1F4E79" w:themeColor="accent1" w:themeShade="80"/>
          <w:sz w:val="24"/>
          <w:szCs w:val="24"/>
        </w:rPr>
        <w:lastRenderedPageBreak/>
        <w:t>podmiotu, który będzie dla Państwa realizował usługi o charakterze zawodowym jest uregulowana w pkt. 7 i 8 przywołanego podrozdziału wytycznych.</w:t>
      </w:r>
    </w:p>
    <w:p w14:paraId="05B9EEF9" w14:textId="3DB0D3FF" w:rsidR="001120EE" w:rsidRPr="001120EE" w:rsidRDefault="001120EE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 w:rsidRPr="001120EE">
        <w:rPr>
          <w:rFonts w:cs="Arial"/>
          <w:sz w:val="24"/>
          <w:szCs w:val="24"/>
        </w:rPr>
        <w:t>Czy w ramach konkursu RPDS.09.01.01-IP.02-02-401/20 Partner projektu również musi spełniać takie same warunki jak Wnioskodawca</w:t>
      </w:r>
      <w:r>
        <w:rPr>
          <w:rFonts w:cs="Arial"/>
          <w:sz w:val="24"/>
          <w:szCs w:val="24"/>
        </w:rPr>
        <w:t>, t</w:t>
      </w:r>
      <w:r w:rsidRPr="001120EE">
        <w:rPr>
          <w:rFonts w:cs="Arial"/>
          <w:sz w:val="24"/>
          <w:szCs w:val="24"/>
        </w:rPr>
        <w:t>zn. dla projektów typu 9.1.A. (drugi typ operacji) musi wpisywać się w:</w:t>
      </w:r>
    </w:p>
    <w:p w14:paraId="49116AB9" w14:textId="7B104382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jednostki samorządu terytorialnego, ich związki i stowarzyszenia;</w:t>
      </w:r>
    </w:p>
    <w:p w14:paraId="3C3811C0" w14:textId="67A98939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jednostki organizacyjne j.s.t.;</w:t>
      </w:r>
    </w:p>
    <w:p w14:paraId="4E0DC4B9" w14:textId="64CCC859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jednostki organizacyjne pomocy społecznej;</w:t>
      </w:r>
    </w:p>
    <w:p w14:paraId="0140BC1C" w14:textId="653E899A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organizacje pozarządowe;</w:t>
      </w:r>
    </w:p>
    <w:p w14:paraId="2B7D3BEA" w14:textId="2CB01A2D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lokalne grupy działania;</w:t>
      </w:r>
    </w:p>
    <w:p w14:paraId="7E704D42" w14:textId="56AF0256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podmioty ekonomii społecznej o raz przedsiębiorstwa społeczne;</w:t>
      </w:r>
    </w:p>
    <w:p w14:paraId="3550CCBC" w14:textId="08E120B7" w:rsidR="001120EE" w:rsidRP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 w:rsidRPr="001120EE">
        <w:rPr>
          <w:rFonts w:eastAsia="Calibri" w:cs="Arial"/>
          <w:sz w:val="24"/>
          <w:szCs w:val="24"/>
        </w:rPr>
        <w:t>kościoły, związki wyznaniowe oraz osoby prawne kościołów i związków wyznaniowych;</w:t>
      </w:r>
    </w:p>
    <w:p w14:paraId="77CB0BCE" w14:textId="33E2AE2D" w:rsidR="001120EE" w:rsidRDefault="001120EE" w:rsidP="00782EFE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PFRON?</w:t>
      </w:r>
    </w:p>
    <w:p w14:paraId="20202696" w14:textId="77777777" w:rsidR="001120EE" w:rsidRPr="001120EE" w:rsidRDefault="001120EE" w:rsidP="001120EE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1120EE">
        <w:rPr>
          <w:rFonts w:asciiTheme="minorHAnsi" w:hAnsiTheme="minorHAnsi"/>
        </w:rPr>
        <w:t>Odpowiedź:</w:t>
      </w:r>
    </w:p>
    <w:p w14:paraId="4CEF163F" w14:textId="05DFB72A" w:rsidR="001120EE" w:rsidRPr="001120EE" w:rsidRDefault="001120EE" w:rsidP="001120EE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1120EE">
        <w:rPr>
          <w:rFonts w:cs="Arial"/>
          <w:color w:val="1F4E79" w:themeColor="accent1" w:themeShade="80"/>
          <w:sz w:val="24"/>
          <w:szCs w:val="24"/>
        </w:rPr>
        <w:t>Partner projektu nie musi być podmiotem spośród wymienionych w Regulaminie konkursu. Przytoczone zapisy dotyczą tylko Wnioskodawcy – to jest podmiotu, który złoży wniosek o dofinansowanie i w przypadku projektów partnerskich będzie partnerem wiodącym (Liderem).</w:t>
      </w:r>
    </w:p>
    <w:p w14:paraId="0B354702" w14:textId="5AA7D3F5" w:rsidR="001120EE" w:rsidRPr="001120EE" w:rsidRDefault="001120EE" w:rsidP="001120EE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1120EE">
        <w:rPr>
          <w:rFonts w:cs="Arial"/>
          <w:color w:val="1F4E79" w:themeColor="accent1" w:themeShade="80"/>
          <w:sz w:val="24"/>
          <w:szCs w:val="24"/>
        </w:rPr>
        <w:t xml:space="preserve">Partner musi natomiast posiadać osobowość prawną – jeśli w jego imieniu projekt będzie realizować jednostka podległa nie mająca </w:t>
      </w:r>
      <w:r>
        <w:rPr>
          <w:rFonts w:cs="Arial"/>
          <w:color w:val="1F4E79" w:themeColor="accent1" w:themeShade="80"/>
          <w:sz w:val="24"/>
          <w:szCs w:val="24"/>
        </w:rPr>
        <w:t>osobowości prawnej, to należy ją </w:t>
      </w:r>
      <w:r w:rsidRPr="001120EE">
        <w:rPr>
          <w:rFonts w:cs="Arial"/>
          <w:color w:val="1F4E79" w:themeColor="accent1" w:themeShade="80"/>
          <w:sz w:val="24"/>
          <w:szCs w:val="24"/>
        </w:rPr>
        <w:t>wpisać w punkcie 2.11 wniosku – Inne podmioty zaangażowane w realizację projektu (są to tzw. realizatorzy).</w:t>
      </w:r>
    </w:p>
    <w:p w14:paraId="0483ABF4" w14:textId="1E5DA7FA" w:rsidR="00022B5F" w:rsidRPr="00022B5F" w:rsidRDefault="00022B5F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022B5F">
        <w:rPr>
          <w:rFonts w:cs="Arial"/>
          <w:sz w:val="24"/>
          <w:szCs w:val="24"/>
        </w:rPr>
        <w:t>zy przy kursach i szkoleniach konieczne jest zastosowanie dwóch wskaźników, zarówno kompetencji jak i kwalifikacji. Czy można zastosować jeden wskaźnik? Czy</w:t>
      </w:r>
      <w:r w:rsidR="00782EFE">
        <w:rPr>
          <w:rFonts w:cs="Arial"/>
          <w:sz w:val="24"/>
          <w:szCs w:val="24"/>
        </w:rPr>
        <w:t> </w:t>
      </w:r>
      <w:r w:rsidRPr="00022B5F">
        <w:rPr>
          <w:rFonts w:cs="Arial"/>
          <w:sz w:val="24"/>
          <w:szCs w:val="24"/>
        </w:rPr>
        <w:t>np. ukończony kurs prawa jazdy bez zdanego egzaminu może być wskaźnikiem?</w:t>
      </w:r>
    </w:p>
    <w:p w14:paraId="4A686CA2" w14:textId="77777777" w:rsidR="00022B5F" w:rsidRPr="00022B5F" w:rsidRDefault="00022B5F" w:rsidP="00022B5F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022B5F">
        <w:rPr>
          <w:rFonts w:asciiTheme="minorHAnsi" w:hAnsiTheme="minorHAnsi"/>
        </w:rPr>
        <w:t>Odpowiedź:</w:t>
      </w:r>
    </w:p>
    <w:p w14:paraId="231C5726" w14:textId="642FE686" w:rsidR="00022B5F" w:rsidRPr="00022B5F" w:rsidRDefault="00022B5F" w:rsidP="00022B5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22B5F">
        <w:rPr>
          <w:rFonts w:cs="Arial"/>
          <w:color w:val="1F4E79" w:themeColor="accent1" w:themeShade="80"/>
          <w:sz w:val="24"/>
          <w:szCs w:val="24"/>
        </w:rPr>
        <w:t xml:space="preserve">Nie ma potrzeby stosowania dwóch różnych wskaźników ani dodawania wskaźnika specyficznego dla projektu. W przypadku szkoleń obowiązujący w konkursie jest jeden wskaźnik rezultatu, w ramach którego monitorowane jest zarówno podniesienie kompetencji jak i uzyskanie kwalifikacji: „Liczba osób zagrożonych ubóstwem </w:t>
      </w:r>
      <w:r w:rsidRPr="00022B5F">
        <w:rPr>
          <w:rFonts w:cs="Arial"/>
          <w:color w:val="1F4E79" w:themeColor="accent1" w:themeShade="80"/>
          <w:sz w:val="24"/>
          <w:szCs w:val="24"/>
        </w:rPr>
        <w:lastRenderedPageBreak/>
        <w:t>lub</w:t>
      </w:r>
      <w:r w:rsidR="00782EFE"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>wykluczeniem społecznym, które uzyskały kwalifikacje lub nabyły kompetencje po</w:t>
      </w:r>
      <w:r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>opuszczeniu programu [osoby]”. Wskaźnik ten proszę wybrać z listy rozwijanej w</w:t>
      </w:r>
      <w:r w:rsidR="00782EFE"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>części 3.1.2 wniosku.</w:t>
      </w:r>
    </w:p>
    <w:p w14:paraId="11480D8C" w14:textId="77777777" w:rsidR="00022B5F" w:rsidRPr="00022B5F" w:rsidRDefault="00022B5F" w:rsidP="00022B5F">
      <w:pPr>
        <w:spacing w:after="0" w:line="240" w:lineRule="auto"/>
        <w:rPr>
          <w:rFonts w:ascii="Calibri" w:eastAsia="Calibri" w:hAnsi="Calibri" w:cs="Times New Roman"/>
        </w:rPr>
      </w:pPr>
      <w:r w:rsidRPr="00022B5F">
        <w:rPr>
          <w:rFonts w:ascii="Calibri" w:eastAsia="Calibri" w:hAnsi="Calibri" w:cs="Times New Roman"/>
        </w:rPr>
        <w:t> </w:t>
      </w:r>
    </w:p>
    <w:p w14:paraId="143C64F1" w14:textId="70C2B561" w:rsidR="00022B5F" w:rsidRPr="00022B5F" w:rsidRDefault="00022B5F" w:rsidP="00E72E23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Pr="00022B5F">
        <w:rPr>
          <w:rFonts w:cs="Arial"/>
          <w:sz w:val="24"/>
          <w:szCs w:val="24"/>
        </w:rPr>
        <w:t>zy osoby po 75 roku życia , pobierające z ZUS- u dodatek pielęgnacyjny w związku z</w:t>
      </w:r>
      <w:r w:rsidR="00782EFE">
        <w:rPr>
          <w:rFonts w:cs="Arial"/>
          <w:sz w:val="24"/>
          <w:szCs w:val="24"/>
        </w:rPr>
        <w:t> </w:t>
      </w:r>
      <w:r w:rsidRPr="00022B5F">
        <w:rPr>
          <w:rFonts w:cs="Arial"/>
          <w:sz w:val="24"/>
          <w:szCs w:val="24"/>
        </w:rPr>
        <w:t>wiekiem, przyznawany z urzędu , bez zaświadczenia lekarskiego</w:t>
      </w:r>
      <w:r w:rsidR="00782EFE">
        <w:rPr>
          <w:rFonts w:cs="Arial"/>
          <w:sz w:val="24"/>
          <w:szCs w:val="24"/>
        </w:rPr>
        <w:t>,</w:t>
      </w:r>
      <w:r w:rsidRPr="00022B5F">
        <w:rPr>
          <w:rFonts w:cs="Arial"/>
          <w:sz w:val="24"/>
          <w:szCs w:val="24"/>
        </w:rPr>
        <w:t xml:space="preserve"> można zakwalifikować jako osoby niepełnosprawne?</w:t>
      </w:r>
    </w:p>
    <w:p w14:paraId="6BF9240D" w14:textId="77777777" w:rsidR="00022B5F" w:rsidRPr="00022B5F" w:rsidRDefault="00022B5F" w:rsidP="00022B5F">
      <w:pPr>
        <w:pStyle w:val="wyrnikodpowiedzi"/>
        <w:tabs>
          <w:tab w:val="clear" w:pos="426"/>
          <w:tab w:val="left" w:pos="284"/>
        </w:tabs>
        <w:ind w:left="426"/>
        <w:rPr>
          <w:rFonts w:asciiTheme="minorHAnsi" w:hAnsiTheme="minorHAnsi"/>
        </w:rPr>
      </w:pPr>
      <w:r w:rsidRPr="00022B5F">
        <w:rPr>
          <w:rFonts w:asciiTheme="minorHAnsi" w:hAnsiTheme="minorHAnsi"/>
        </w:rPr>
        <w:t>Odpowiedź:</w:t>
      </w:r>
    </w:p>
    <w:p w14:paraId="4FE8F0E5" w14:textId="373CB3D0" w:rsidR="00022B5F" w:rsidRPr="00022B5F" w:rsidRDefault="00022B5F" w:rsidP="00022B5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22B5F">
        <w:rPr>
          <w:rFonts w:cs="Arial"/>
          <w:color w:val="1F4E79" w:themeColor="accent1" w:themeShade="80"/>
          <w:sz w:val="24"/>
          <w:szCs w:val="24"/>
        </w:rPr>
        <w:t>Nie, aby zakwalifikować do projektu uczestnika jako osobę z niepełnosprawnością, musi ona spełniać definicję osoby z niepełnosprawnością zawartą w Regulaminie konkursu, w</w:t>
      </w:r>
      <w:r w:rsidR="00437096"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>części VIII „Słownik skrótów i pojęć”. Definicja ta wskazuje:</w:t>
      </w:r>
    </w:p>
    <w:p w14:paraId="366E69DE" w14:textId="3D688B72" w:rsidR="00022B5F" w:rsidRPr="00022B5F" w:rsidRDefault="00022B5F" w:rsidP="00022B5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22B5F">
        <w:rPr>
          <w:rFonts w:cs="Arial"/>
          <w:color w:val="1F4E79" w:themeColor="accent1" w:themeShade="80"/>
          <w:sz w:val="24"/>
          <w:szCs w:val="24"/>
        </w:rPr>
        <w:t>„Osoby z niepełnosprawnością – w zakresie konkursu to osoby z niepełnosprawnością w</w:t>
      </w:r>
      <w:r w:rsidR="00437096"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>rozumieniu ustawy z dnia 27 sierpnia 1997 r. o rehabilitacji zawodowej i społecznej oraz zatrudnianiu osób niepełnosprawnych (…), a także osoby z zaburzeniami psychicznymi, w rozumieniu ustawy z dnia 19 sierpnia 1994 r. o ochronie zdrowia psychicznego (…). Za osobę z niepełnosprawnością w ramach konkursu uznaje się również ucznia albo dziecko w wieku przedszkolnym, posiadające orzeczenie o potrzebie kształcenia specjalnego, wydane ze względu na dany rodzaj niepełnosprawności, oraz dzieci i młodzież, posiadające orzeczenie o potrzebie zajęć rewalidacyjno-wychowawczych, wydawane ze względu na niepełnosprawność intelektualną w stopniu głębokim. Orzeczenia te są wydawane przez zespół orzekający działający w publicznej poradni psychologiczno-pedagogicznej, w tym poradni specjalistycznej”.</w:t>
      </w:r>
    </w:p>
    <w:p w14:paraId="44E039F9" w14:textId="00A32B1C" w:rsidR="00022B5F" w:rsidRPr="00022B5F" w:rsidRDefault="00022B5F" w:rsidP="00022B5F">
      <w:pPr>
        <w:tabs>
          <w:tab w:val="left" w:pos="284"/>
        </w:tabs>
        <w:spacing w:line="360" w:lineRule="auto"/>
        <w:ind w:left="426"/>
        <w:contextualSpacing/>
        <w:rPr>
          <w:rFonts w:cs="Arial"/>
          <w:color w:val="1F4E79" w:themeColor="accent1" w:themeShade="80"/>
          <w:sz w:val="24"/>
          <w:szCs w:val="24"/>
        </w:rPr>
      </w:pPr>
      <w:r w:rsidRPr="00022B5F">
        <w:rPr>
          <w:rFonts w:cs="Arial"/>
          <w:color w:val="1F4E79" w:themeColor="accent1" w:themeShade="80"/>
          <w:sz w:val="24"/>
          <w:szCs w:val="24"/>
        </w:rPr>
        <w:t>Zgodnie z Załącznikiem nr 7 do Regulaminu konkursu „Zestawienie wskaźników możliwych do zastosowania w ramach konkursu”, potwierdzeniem statusu osoby z</w:t>
      </w:r>
      <w:r w:rsidR="00437096">
        <w:rPr>
          <w:rFonts w:cs="Arial"/>
          <w:color w:val="1F4E79" w:themeColor="accent1" w:themeShade="80"/>
          <w:sz w:val="24"/>
          <w:szCs w:val="24"/>
        </w:rPr>
        <w:t> </w:t>
      </w:r>
      <w:r w:rsidRPr="00022B5F">
        <w:rPr>
          <w:rFonts w:cs="Arial"/>
          <w:color w:val="1F4E79" w:themeColor="accent1" w:themeShade="80"/>
          <w:sz w:val="24"/>
          <w:szCs w:val="24"/>
        </w:rPr>
        <w:t xml:space="preserve">niepełnosprawnością jest w szczególności: </w:t>
      </w:r>
    </w:p>
    <w:p w14:paraId="691CD481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 xml:space="preserve">orzeczenie o stopniu niepełnosprawności lekkim, umiarkowanym i znacznym, </w:t>
      </w:r>
    </w:p>
    <w:p w14:paraId="12114AE8" w14:textId="7D1FF19D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>orzeczenie o niepełnosprawności wydane w stosunku do osób, które nie</w:t>
      </w:r>
      <w:r w:rsidR="00437096">
        <w:rPr>
          <w:rFonts w:cs="Arial"/>
          <w:color w:val="1F4E79" w:themeColor="accent1" w:themeShade="80"/>
          <w:sz w:val="24"/>
          <w:szCs w:val="24"/>
        </w:rPr>
        <w:t> </w:t>
      </w:r>
      <w:r w:rsidRPr="00437096">
        <w:rPr>
          <w:rFonts w:cs="Arial"/>
          <w:color w:val="1F4E79" w:themeColor="accent1" w:themeShade="80"/>
          <w:sz w:val="24"/>
          <w:szCs w:val="24"/>
        </w:rPr>
        <w:t xml:space="preserve">ukończyły 16 roku życia, </w:t>
      </w:r>
    </w:p>
    <w:p w14:paraId="3C736B4A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 xml:space="preserve">orzeczenie o niezdolności do pracy, </w:t>
      </w:r>
    </w:p>
    <w:p w14:paraId="32E7DAE3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 xml:space="preserve">orzeczenie o potrzebie kształcenia specjalnego wydane ze względu na dany rodzaj niepełnosprawności, </w:t>
      </w:r>
    </w:p>
    <w:p w14:paraId="03C50A9D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lastRenderedPageBreak/>
        <w:t xml:space="preserve">orzeczenie o potrzebie zajęć rewalidacyjno-wychowawczych wydane ze względu na niepełnosprawność intelektualną w stopniu głębokim, </w:t>
      </w:r>
    </w:p>
    <w:p w14:paraId="3934DBD6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 xml:space="preserve">inne równoważne orzeczenia (KRUS, służby mundurowe itd.), </w:t>
      </w:r>
    </w:p>
    <w:p w14:paraId="3BE2806D" w14:textId="77777777" w:rsidR="00022B5F" w:rsidRPr="00437096" w:rsidRDefault="00022B5F" w:rsidP="00437096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rPr>
          <w:rFonts w:cs="Arial"/>
          <w:color w:val="1F4E79" w:themeColor="accent1" w:themeShade="80"/>
          <w:sz w:val="24"/>
          <w:szCs w:val="24"/>
        </w:rPr>
      </w:pPr>
      <w:r w:rsidRPr="00437096">
        <w:rPr>
          <w:rFonts w:cs="Arial"/>
          <w:color w:val="1F4E79" w:themeColor="accent1" w:themeShade="80"/>
          <w:sz w:val="24"/>
          <w:szCs w:val="24"/>
        </w:rPr>
        <w:t>w przypadku osoby z zaburzeniami psychicznymi dokument potwierdzający stan zdrowia wydany przez lekarza, np. orzeczenie o stanie zdrowia lub opinia.</w:t>
      </w:r>
    </w:p>
    <w:p w14:paraId="28F61AFE" w14:textId="77777777" w:rsidR="000B74BF" w:rsidRPr="006E3AEC" w:rsidRDefault="000B74BF" w:rsidP="00666BFB">
      <w:pPr>
        <w:tabs>
          <w:tab w:val="left" w:pos="284"/>
        </w:tabs>
        <w:spacing w:line="360" w:lineRule="auto"/>
        <w:contextualSpacing/>
        <w:rPr>
          <w:rFonts w:cs="Arial"/>
          <w:color w:val="1F4E79" w:themeColor="accent1" w:themeShade="80"/>
          <w:sz w:val="24"/>
          <w:szCs w:val="24"/>
        </w:rPr>
      </w:pPr>
      <w:bookmarkStart w:id="0" w:name="_GoBack"/>
      <w:bookmarkEnd w:id="0"/>
    </w:p>
    <w:sectPr w:rsidR="000B74BF" w:rsidRPr="006E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74C0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A2BB" w14:textId="77777777" w:rsidR="007A3149" w:rsidRDefault="007A3149" w:rsidP="00014EAC">
      <w:pPr>
        <w:spacing w:after="0" w:line="240" w:lineRule="auto"/>
      </w:pPr>
      <w:r>
        <w:separator/>
      </w:r>
    </w:p>
  </w:endnote>
  <w:endnote w:type="continuationSeparator" w:id="0">
    <w:p w14:paraId="45909797" w14:textId="77777777" w:rsidR="007A3149" w:rsidRDefault="007A3149" w:rsidP="0001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77605" w14:textId="77777777" w:rsidR="007A3149" w:rsidRDefault="007A3149" w:rsidP="00014EAC">
      <w:pPr>
        <w:spacing w:after="0" w:line="240" w:lineRule="auto"/>
      </w:pPr>
      <w:r>
        <w:separator/>
      </w:r>
    </w:p>
  </w:footnote>
  <w:footnote w:type="continuationSeparator" w:id="0">
    <w:p w14:paraId="20D8D502" w14:textId="77777777" w:rsidR="007A3149" w:rsidRDefault="007A3149" w:rsidP="0001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016"/>
    <w:multiLevelType w:val="hybridMultilevel"/>
    <w:tmpl w:val="FF84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2750"/>
    <w:multiLevelType w:val="hybridMultilevel"/>
    <w:tmpl w:val="A4F84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62F7"/>
    <w:multiLevelType w:val="hybridMultilevel"/>
    <w:tmpl w:val="C0FAD718"/>
    <w:lvl w:ilvl="0" w:tplc="A9441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02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2F2009"/>
    <w:multiLevelType w:val="hybridMultilevel"/>
    <w:tmpl w:val="7324BF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31809"/>
    <w:multiLevelType w:val="hybridMultilevel"/>
    <w:tmpl w:val="4F98D69E"/>
    <w:lvl w:ilvl="0" w:tplc="B8E80D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62D52"/>
    <w:multiLevelType w:val="hybridMultilevel"/>
    <w:tmpl w:val="980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256F9"/>
    <w:multiLevelType w:val="hybridMultilevel"/>
    <w:tmpl w:val="D700C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6D2E"/>
    <w:multiLevelType w:val="hybridMultilevel"/>
    <w:tmpl w:val="EC0AE598"/>
    <w:lvl w:ilvl="0" w:tplc="453EC0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80AA7"/>
    <w:multiLevelType w:val="hybridMultilevel"/>
    <w:tmpl w:val="7818B918"/>
    <w:lvl w:ilvl="0" w:tplc="144C11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74A9F"/>
    <w:multiLevelType w:val="hybridMultilevel"/>
    <w:tmpl w:val="4C5E0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82D3D"/>
    <w:multiLevelType w:val="hybridMultilevel"/>
    <w:tmpl w:val="21AE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01477"/>
    <w:multiLevelType w:val="hybridMultilevel"/>
    <w:tmpl w:val="A8BCC456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D77264"/>
    <w:multiLevelType w:val="hybridMultilevel"/>
    <w:tmpl w:val="52D4F72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54894A7A"/>
    <w:multiLevelType w:val="hybridMultilevel"/>
    <w:tmpl w:val="B9988C5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492079"/>
    <w:multiLevelType w:val="hybridMultilevel"/>
    <w:tmpl w:val="DE96AC2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5A73257"/>
    <w:multiLevelType w:val="hybridMultilevel"/>
    <w:tmpl w:val="40D8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83485"/>
    <w:multiLevelType w:val="hybridMultilevel"/>
    <w:tmpl w:val="CD6C6612"/>
    <w:lvl w:ilvl="0" w:tplc="C8E69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4D8C"/>
    <w:multiLevelType w:val="hybridMultilevel"/>
    <w:tmpl w:val="54723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E2E1B"/>
    <w:multiLevelType w:val="hybridMultilevel"/>
    <w:tmpl w:val="D700C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B1DF4"/>
    <w:multiLevelType w:val="hybridMultilevel"/>
    <w:tmpl w:val="A0A0B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941867"/>
    <w:multiLevelType w:val="hybridMultilevel"/>
    <w:tmpl w:val="A28C6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E6C2A"/>
    <w:multiLevelType w:val="hybridMultilevel"/>
    <w:tmpl w:val="770EDCAE"/>
    <w:lvl w:ilvl="0" w:tplc="0A8AD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55E45"/>
    <w:multiLevelType w:val="hybridMultilevel"/>
    <w:tmpl w:val="4C5E0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E74D7"/>
    <w:multiLevelType w:val="hybridMultilevel"/>
    <w:tmpl w:val="4C5E0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13F72"/>
    <w:multiLevelType w:val="hybridMultilevel"/>
    <w:tmpl w:val="96FE31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6A18"/>
    <w:multiLevelType w:val="hybridMultilevel"/>
    <w:tmpl w:val="6DCE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3036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5963E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7"/>
  </w:num>
  <w:num w:numId="5">
    <w:abstractNumId w:val="12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3"/>
  </w:num>
  <w:num w:numId="11">
    <w:abstractNumId w:val="20"/>
  </w:num>
  <w:num w:numId="12">
    <w:abstractNumId w:val="26"/>
  </w:num>
  <w:num w:numId="13">
    <w:abstractNumId w:val="11"/>
  </w:num>
  <w:num w:numId="14">
    <w:abstractNumId w:val="24"/>
  </w:num>
  <w:num w:numId="15">
    <w:abstractNumId w:val="18"/>
  </w:num>
  <w:num w:numId="16">
    <w:abstractNumId w:val="6"/>
  </w:num>
  <w:num w:numId="17">
    <w:abstractNumId w:val="21"/>
  </w:num>
  <w:num w:numId="18">
    <w:abstractNumId w:val="1"/>
  </w:num>
  <w:num w:numId="19">
    <w:abstractNumId w:val="23"/>
  </w:num>
  <w:num w:numId="20">
    <w:abstractNumId w:val="10"/>
  </w:num>
  <w:num w:numId="21">
    <w:abstractNumId w:val="19"/>
  </w:num>
  <w:num w:numId="22">
    <w:abstractNumId w:val="7"/>
  </w:num>
  <w:num w:numId="23">
    <w:abstractNumId w:val="15"/>
  </w:num>
  <w:num w:numId="24">
    <w:abstractNumId w:val="15"/>
  </w:num>
  <w:num w:numId="25">
    <w:abstractNumId w:val="14"/>
  </w:num>
  <w:num w:numId="26">
    <w:abstractNumId w:val="16"/>
  </w:num>
  <w:num w:numId="27">
    <w:abstractNumId w:val="25"/>
  </w:num>
  <w:num w:numId="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Rawska">
    <w15:presenceInfo w15:providerId="AD" w15:userId="S-1-5-21-1434787077-604915298-1717707607-2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C"/>
    <w:rsid w:val="00014EAC"/>
    <w:rsid w:val="00022B5F"/>
    <w:rsid w:val="00037D0C"/>
    <w:rsid w:val="00066B65"/>
    <w:rsid w:val="000B74BF"/>
    <w:rsid w:val="000D47D6"/>
    <w:rsid w:val="001120EE"/>
    <w:rsid w:val="001137C3"/>
    <w:rsid w:val="00151B4A"/>
    <w:rsid w:val="00193752"/>
    <w:rsid w:val="001B1321"/>
    <w:rsid w:val="001C561C"/>
    <w:rsid w:val="00206827"/>
    <w:rsid w:val="00234292"/>
    <w:rsid w:val="002555D7"/>
    <w:rsid w:val="002D2F5C"/>
    <w:rsid w:val="002D36C9"/>
    <w:rsid w:val="002F7462"/>
    <w:rsid w:val="00324651"/>
    <w:rsid w:val="00336360"/>
    <w:rsid w:val="00354644"/>
    <w:rsid w:val="0036024E"/>
    <w:rsid w:val="00381F3A"/>
    <w:rsid w:val="00395736"/>
    <w:rsid w:val="0040230C"/>
    <w:rsid w:val="00411294"/>
    <w:rsid w:val="004335DF"/>
    <w:rsid w:val="00434901"/>
    <w:rsid w:val="00437096"/>
    <w:rsid w:val="00450F04"/>
    <w:rsid w:val="00480A51"/>
    <w:rsid w:val="00492A53"/>
    <w:rsid w:val="004A44EC"/>
    <w:rsid w:val="004E1FE4"/>
    <w:rsid w:val="00532518"/>
    <w:rsid w:val="005567CC"/>
    <w:rsid w:val="0055796A"/>
    <w:rsid w:val="00560304"/>
    <w:rsid w:val="00570119"/>
    <w:rsid w:val="0058065F"/>
    <w:rsid w:val="00591424"/>
    <w:rsid w:val="005A1CA6"/>
    <w:rsid w:val="005B54F3"/>
    <w:rsid w:val="005E7B3D"/>
    <w:rsid w:val="00631BE8"/>
    <w:rsid w:val="00654BB0"/>
    <w:rsid w:val="0065515A"/>
    <w:rsid w:val="00666BFB"/>
    <w:rsid w:val="00692D7F"/>
    <w:rsid w:val="006B34D3"/>
    <w:rsid w:val="006D0145"/>
    <w:rsid w:val="006E3AEC"/>
    <w:rsid w:val="006F7321"/>
    <w:rsid w:val="0073036F"/>
    <w:rsid w:val="00747597"/>
    <w:rsid w:val="00782EFE"/>
    <w:rsid w:val="00786D14"/>
    <w:rsid w:val="0079142F"/>
    <w:rsid w:val="007A3149"/>
    <w:rsid w:val="007B2C9B"/>
    <w:rsid w:val="007E7070"/>
    <w:rsid w:val="00852B7E"/>
    <w:rsid w:val="008A20E6"/>
    <w:rsid w:val="008E4CF3"/>
    <w:rsid w:val="008F16E0"/>
    <w:rsid w:val="00925214"/>
    <w:rsid w:val="0093560D"/>
    <w:rsid w:val="00942EA1"/>
    <w:rsid w:val="00946643"/>
    <w:rsid w:val="00962EEC"/>
    <w:rsid w:val="009768AB"/>
    <w:rsid w:val="00A276AB"/>
    <w:rsid w:val="00A44C90"/>
    <w:rsid w:val="00A67FAC"/>
    <w:rsid w:val="00A70FA0"/>
    <w:rsid w:val="00A85FA3"/>
    <w:rsid w:val="00AC4666"/>
    <w:rsid w:val="00AD68D4"/>
    <w:rsid w:val="00B126BC"/>
    <w:rsid w:val="00B51E53"/>
    <w:rsid w:val="00B62210"/>
    <w:rsid w:val="00BA08E7"/>
    <w:rsid w:val="00BE16F4"/>
    <w:rsid w:val="00BE57EA"/>
    <w:rsid w:val="00BF279E"/>
    <w:rsid w:val="00C23144"/>
    <w:rsid w:val="00C269FF"/>
    <w:rsid w:val="00C47582"/>
    <w:rsid w:val="00CA7397"/>
    <w:rsid w:val="00CA7653"/>
    <w:rsid w:val="00CC3E25"/>
    <w:rsid w:val="00CC5928"/>
    <w:rsid w:val="00D23144"/>
    <w:rsid w:val="00D3140C"/>
    <w:rsid w:val="00D404A9"/>
    <w:rsid w:val="00D509EE"/>
    <w:rsid w:val="00D770AD"/>
    <w:rsid w:val="00D81C8A"/>
    <w:rsid w:val="00DB21A6"/>
    <w:rsid w:val="00DE4B0B"/>
    <w:rsid w:val="00DF10DD"/>
    <w:rsid w:val="00E1378D"/>
    <w:rsid w:val="00E72E23"/>
    <w:rsid w:val="00E914D3"/>
    <w:rsid w:val="00EC0C68"/>
    <w:rsid w:val="00EC1B8B"/>
    <w:rsid w:val="00F3419C"/>
    <w:rsid w:val="00F35255"/>
    <w:rsid w:val="00F37225"/>
    <w:rsid w:val="00F375AB"/>
    <w:rsid w:val="00F60871"/>
    <w:rsid w:val="00F75BDD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7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79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9F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B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515A"/>
    <w:pPr>
      <w:spacing w:after="0" w:line="240" w:lineRule="auto"/>
    </w:pPr>
  </w:style>
  <w:style w:type="paragraph" w:customStyle="1" w:styleId="wyrnikodpowiedzi">
    <w:name w:val="wyróżnik odpowiedzi"/>
    <w:basedOn w:val="Normalny"/>
    <w:link w:val="wyrnikodpowiedziZnak"/>
    <w:qFormat/>
    <w:rsid w:val="006E3AEC"/>
    <w:pPr>
      <w:keepNext/>
      <w:tabs>
        <w:tab w:val="left" w:pos="426"/>
      </w:tabs>
      <w:spacing w:after="0" w:line="360" w:lineRule="auto"/>
      <w:ind w:left="357"/>
      <w:contextualSpacing/>
    </w:pPr>
    <w:rPr>
      <w:rFonts w:ascii="Arial" w:eastAsia="Calibri" w:hAnsi="Arial" w:cs="Arial"/>
      <w:b/>
      <w:color w:val="1F4E79"/>
      <w:sz w:val="24"/>
      <w:szCs w:val="24"/>
    </w:rPr>
  </w:style>
  <w:style w:type="character" w:customStyle="1" w:styleId="wyrnikodpowiedziZnak">
    <w:name w:val="wyróżnik odpowiedzi Znak"/>
    <w:basedOn w:val="Domylnaczcionkaakapitu"/>
    <w:link w:val="wyrnikodpowiedzi"/>
    <w:rsid w:val="006E3AEC"/>
    <w:rPr>
      <w:rFonts w:ascii="Arial" w:eastAsia="Calibri" w:hAnsi="Arial" w:cs="Arial"/>
      <w:b/>
      <w:color w:val="1F4E79"/>
      <w:sz w:val="24"/>
      <w:szCs w:val="24"/>
    </w:rPr>
  </w:style>
  <w:style w:type="paragraph" w:customStyle="1" w:styleId="OdpowiedFAQ">
    <w:name w:val="Odpowiedź FAQ"/>
    <w:basedOn w:val="Normalny"/>
    <w:link w:val="OdpowiedFAQZnak"/>
    <w:qFormat/>
    <w:rsid w:val="00CA7653"/>
    <w:pPr>
      <w:tabs>
        <w:tab w:val="left" w:pos="426"/>
      </w:tabs>
      <w:spacing w:after="240" w:line="360" w:lineRule="auto"/>
      <w:ind w:left="357"/>
      <w:contextualSpacing/>
    </w:pPr>
    <w:rPr>
      <w:rFonts w:ascii="Arial" w:eastAsia="Calibri" w:hAnsi="Arial" w:cs="Arial"/>
      <w:color w:val="1F4E79"/>
      <w:sz w:val="24"/>
      <w:szCs w:val="24"/>
    </w:rPr>
  </w:style>
  <w:style w:type="character" w:customStyle="1" w:styleId="OdpowiedFAQZnak">
    <w:name w:val="Odpowiedź FAQ Znak"/>
    <w:basedOn w:val="Domylnaczcionkaakapitu"/>
    <w:link w:val="OdpowiedFAQ"/>
    <w:rsid w:val="00CA7653"/>
    <w:rPr>
      <w:rFonts w:ascii="Arial" w:eastAsia="Calibri" w:hAnsi="Arial" w:cs="Arial"/>
      <w:color w:val="1F4E7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E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579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9F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B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515A"/>
    <w:pPr>
      <w:spacing w:after="0" w:line="240" w:lineRule="auto"/>
    </w:pPr>
  </w:style>
  <w:style w:type="paragraph" w:customStyle="1" w:styleId="wyrnikodpowiedzi">
    <w:name w:val="wyróżnik odpowiedzi"/>
    <w:basedOn w:val="Normalny"/>
    <w:link w:val="wyrnikodpowiedziZnak"/>
    <w:qFormat/>
    <w:rsid w:val="006E3AEC"/>
    <w:pPr>
      <w:keepNext/>
      <w:tabs>
        <w:tab w:val="left" w:pos="426"/>
      </w:tabs>
      <w:spacing w:after="0" w:line="360" w:lineRule="auto"/>
      <w:ind w:left="357"/>
      <w:contextualSpacing/>
    </w:pPr>
    <w:rPr>
      <w:rFonts w:ascii="Arial" w:eastAsia="Calibri" w:hAnsi="Arial" w:cs="Arial"/>
      <w:b/>
      <w:color w:val="1F4E79"/>
      <w:sz w:val="24"/>
      <w:szCs w:val="24"/>
    </w:rPr>
  </w:style>
  <w:style w:type="character" w:customStyle="1" w:styleId="wyrnikodpowiedziZnak">
    <w:name w:val="wyróżnik odpowiedzi Znak"/>
    <w:basedOn w:val="Domylnaczcionkaakapitu"/>
    <w:link w:val="wyrnikodpowiedzi"/>
    <w:rsid w:val="006E3AEC"/>
    <w:rPr>
      <w:rFonts w:ascii="Arial" w:eastAsia="Calibri" w:hAnsi="Arial" w:cs="Arial"/>
      <w:b/>
      <w:color w:val="1F4E79"/>
      <w:sz w:val="24"/>
      <w:szCs w:val="24"/>
    </w:rPr>
  </w:style>
  <w:style w:type="paragraph" w:customStyle="1" w:styleId="OdpowiedFAQ">
    <w:name w:val="Odpowiedź FAQ"/>
    <w:basedOn w:val="Normalny"/>
    <w:link w:val="OdpowiedFAQZnak"/>
    <w:qFormat/>
    <w:rsid w:val="00CA7653"/>
    <w:pPr>
      <w:tabs>
        <w:tab w:val="left" w:pos="426"/>
      </w:tabs>
      <w:spacing w:after="240" w:line="360" w:lineRule="auto"/>
      <w:ind w:left="357"/>
      <w:contextualSpacing/>
    </w:pPr>
    <w:rPr>
      <w:rFonts w:ascii="Arial" w:eastAsia="Calibri" w:hAnsi="Arial" w:cs="Arial"/>
      <w:color w:val="1F4E79"/>
      <w:sz w:val="24"/>
      <w:szCs w:val="24"/>
    </w:rPr>
  </w:style>
  <w:style w:type="character" w:customStyle="1" w:styleId="OdpowiedFAQZnak">
    <w:name w:val="Odpowiedź FAQ Znak"/>
    <w:basedOn w:val="Domylnaczcionkaakapitu"/>
    <w:link w:val="OdpowiedFAQ"/>
    <w:rsid w:val="00CA7653"/>
    <w:rPr>
      <w:rFonts w:ascii="Arial" w:eastAsia="Calibri" w:hAnsi="Arial" w:cs="Arial"/>
      <w:color w:val="1F4E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C0FB-B128-41ED-A5D9-4BBC88E7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14</Pages>
  <Words>3639</Words>
  <Characters>21838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Ratajczak</dc:creator>
  <cp:keywords/>
  <dc:description/>
  <cp:lastModifiedBy>Agnieszka Kalita</cp:lastModifiedBy>
  <cp:revision>62</cp:revision>
  <dcterms:created xsi:type="dcterms:W3CDTF">2019-04-30T08:02:00Z</dcterms:created>
  <dcterms:modified xsi:type="dcterms:W3CDTF">2020-08-14T09:25:00Z</dcterms:modified>
</cp:coreProperties>
</file>