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2C6" w:rsidRDefault="00593D35" w:rsidP="00822059">
      <w:pPr>
        <w:jc w:val="center"/>
      </w:pPr>
      <w:r w:rsidRPr="004E77AE">
        <w:rPr>
          <w:noProof/>
          <w:lang w:eastAsia="pl-PL"/>
        </w:rPr>
        <w:drawing>
          <wp:inline distT="0" distB="0" distL="0" distR="0" wp14:anchorId="1397AE3F" wp14:editId="3D045B1D">
            <wp:extent cx="5760720" cy="887095"/>
            <wp:effectExtent l="0" t="0" r="0" b="8255"/>
            <wp:docPr id="24" name="Obraz 24" descr="W wierszu umieszczono cztery logotypy:&#10;- jako pierwszy od lewej strony wiersza znajduje się znak Funduszy Europejskich (FE) złożony z symbolu graficznego, nazwy Fundusze Europejskie oraz nazwy programu regionalnego.Symbol graficzny jest zbudowany z układu połączonych gwiazd na tle trapezu. Symbolika gwiazd nawiązuje do flagi Unii Europejskiej przez żółty kolor jednej z gwiazd oraz niebieski kolor tła. Równocześnie nawiązuje do symboliki flagi Polski przez biały i czerwony kolor pozostałych dwóch gwiazd;&#10;- jako drugi od lewej strony wiersza znajduje się znak przedstawiający flagę Polski, na której barwy narodowe widnieją w postaci dwóch pasów równej szerokości, z których górny jest biały, a dolny czerwony. Są to barwy pochodne od herbu państwa. Pas górny oznacza Orła Białego, pas dolny pole tarczy herbowej;&#10;- jako trzeci od lewej strony wiersza znajduje się herb województwa dolnośląskiego z napisem ,,Dolny Śląsk”. Herbem województwa dolnośląskiego jest w polu złotym orzeł czarny ze srebrną przepaską w kształcie półksiężyca z umieszczonym na niej pośrodku krzyżem;&#10;- jako ostatni zamieszczono znak Unii Europejskiej (UE) złożony z flagi UE, napisu Unia Europejska i napisem &quot;Europejski Fundusz Społeczny&quot;, który współfinansuje Projekt realizowany przez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 wierszu umieszczono cztery logotypy:&#10;- jako pierwszy od lewej strony wiersza znajduje się znak Funduszy Europejskich (FE) złożony z symbolu graficznego, nazwy Fundusze Europejskie oraz nazwy programu regionalnego.Symbol graficzny jest zbudowany z układu połączonych gwiazd na tle trapezu. Symbolika gwiazd nawiązuje do flagi Unii Europejskiej przez żółty kolor jednej z gwiazd oraz niebieski kolor tła. Równocześnie nawiązuje do symboliki flagi Polski przez biały i czerwony kolor pozostałych dwóch gwiazd;&#10;- jako drugi od lewej strony wiersza znajduje się znak przedstawiający flagę Polski, na której barwy narodowe widnieją w postaci dwóch pasów równej szerokości, z których górny jest biały, a dolny czerwony. Są to barwy pochodne od herbu państwa. Pas górny oznacza Orła Białego, pas dolny pole tarczy herbowej;&#10;- jako trzeci od lewej strony wiersza znajduje się herb województwa dolnośląskiego z napisem ,,Dolny Śląsk”. Herbem województwa dolnośląskiego jest w polu złotym orzeł czarny ze srebrną przepaską w kształcie półksiężyca z umieszczonym na niej pośrodku krzyżem;&#10;- jako ostatni zamieszczono znak Unii Europejskiej (UE) złożony z flagi UE, napisu Unia Europejska i napisem &quot;Europejski Fundusz Społeczny&quot;, który współfinansuje Projekt realizowany przez Beneficjent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2059" w:rsidRDefault="00822059"/>
    <w:p w:rsidR="00393B19" w:rsidRDefault="005758CC" w:rsidP="005758CC">
      <w:pPr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Załącznik nr 4</w:t>
      </w:r>
    </w:p>
    <w:p w:rsidR="00111084" w:rsidRDefault="00111084" w:rsidP="00393B19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</w:p>
    <w:p w:rsidR="00111084" w:rsidRDefault="00111084" w:rsidP="00393B19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</w:p>
    <w:p w:rsidR="00111084" w:rsidRDefault="00111084" w:rsidP="00393B19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</w:p>
    <w:p w:rsidR="00111084" w:rsidRDefault="00111084" w:rsidP="00393B19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</w:p>
    <w:p w:rsidR="00393B19" w:rsidRPr="00393B19" w:rsidRDefault="00393B19" w:rsidP="00393B19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Tabela </w:t>
      </w:r>
      <w:r w:rsidR="005758CC"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wskaźników </w:t>
      </w:r>
      <w:r w:rsidR="005758CC" w:rsidRPr="005758CC">
        <w:rPr>
          <w:rFonts w:asciiTheme="minorHAnsi" w:hAnsiTheme="minorHAnsi"/>
          <w:b/>
          <w:color w:val="4F81BD" w:themeColor="accent1"/>
          <w:sz w:val="36"/>
          <w:szCs w:val="36"/>
        </w:rPr>
        <w:t>dla projektu pozakonkursowego</w:t>
      </w:r>
      <w:r>
        <w:rPr>
          <w:rFonts w:asciiTheme="minorHAnsi" w:hAnsiTheme="minorHAnsi"/>
          <w:b/>
          <w:color w:val="4F81BD" w:themeColor="accent1"/>
          <w:sz w:val="36"/>
          <w:szCs w:val="36"/>
        </w:rPr>
        <w:br/>
      </w:r>
      <w:r w:rsidR="005758CC">
        <w:rPr>
          <w:rFonts w:asciiTheme="minorHAnsi" w:hAnsiTheme="minorHAnsi"/>
          <w:b/>
          <w:color w:val="4F81BD" w:themeColor="accent1"/>
          <w:sz w:val="36"/>
          <w:szCs w:val="36"/>
        </w:rPr>
        <w:t>w ramach</w:t>
      </w:r>
      <w:r>
        <w:rPr>
          <w:rFonts w:asciiTheme="minorHAnsi" w:hAnsiTheme="minorHAnsi"/>
          <w:b/>
          <w:color w:val="4F81BD" w:themeColor="accent1"/>
          <w:sz w:val="36"/>
          <w:szCs w:val="36"/>
        </w:rPr>
        <w:t xml:space="preserve"> Działania 8.2 RPO WD 2014-2020</w:t>
      </w:r>
    </w:p>
    <w:p w:rsidR="00393B19" w:rsidRDefault="00393B19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p w:rsidR="00111084" w:rsidRDefault="00111084" w:rsidP="00E67BE8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7"/>
        <w:gridCol w:w="4451"/>
      </w:tblGrid>
      <w:tr w:rsidR="000F2161" w:rsidTr="00D20901">
        <w:trPr>
          <w:trHeight w:val="567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DD6EE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lastRenderedPageBreak/>
              <w:t>ZAKŁADANE EFEKTY PROJEKTU WYRAŻONE WSKAŹNIKAMI</w:t>
            </w:r>
          </w:p>
        </w:tc>
      </w:tr>
      <w:tr w:rsidR="000F2161" w:rsidTr="00D20901">
        <w:trPr>
          <w:trHeight w:val="567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DD6EE"/>
            <w:vAlign w:val="center"/>
            <w:hideMark/>
          </w:tcPr>
          <w:p w:rsidR="000F2161" w:rsidRDefault="000F2161" w:rsidP="000F2161">
            <w:pPr>
              <w:pStyle w:val="Akapitzlist"/>
              <w:numPr>
                <w:ilvl w:val="0"/>
                <w:numId w:val="4"/>
              </w:numPr>
              <w:spacing w:line="276" w:lineRule="auto"/>
              <w:ind w:left="200" w:hanging="142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WSKAŹNIKI PRODUKTU WYNIKAJĄCE Z RPO WD 2014-2020</w:t>
            </w:r>
          </w:p>
        </w:tc>
      </w:tr>
      <w:tr w:rsidR="000F2161" w:rsidTr="00D20901">
        <w:trPr>
          <w:trHeight w:val="908"/>
        </w:trPr>
        <w:tc>
          <w:tcPr>
            <w:tcW w:w="26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Nazwa wskaźnika</w:t>
            </w:r>
          </w:p>
        </w:tc>
        <w:tc>
          <w:tcPr>
            <w:tcW w:w="23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BDD6EE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Szacunkowa wartość docelowa wskaźnika</w:t>
            </w:r>
          </w:p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(Ogółem)</w:t>
            </w:r>
          </w:p>
        </w:tc>
      </w:tr>
      <w:tr w:rsidR="000F2161" w:rsidTr="00D20901">
        <w:trPr>
          <w:trHeight w:val="632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0F2161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line="276" w:lineRule="auto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Liczba osób bezrobotnych, w tym długotrwale bezrobotnych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105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Pr="00FF6BDD" w:rsidRDefault="000F2161" w:rsidP="000F216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F6BDD">
              <w:rPr>
                <w:rFonts w:ascii="Arial" w:hAnsi="Arial" w:cs="Arial"/>
                <w:sz w:val="18"/>
                <w:szCs w:val="18"/>
                <w:lang w:eastAsia="en-US"/>
              </w:rPr>
              <w:t>Liczba osób o niskich kwalifikacjach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161" w:rsidRPr="00FF6BDD" w:rsidRDefault="000F2161" w:rsidP="000F216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F6BDD">
              <w:rPr>
                <w:rFonts w:ascii="Arial" w:hAnsi="Arial" w:cs="Arial"/>
                <w:sz w:val="18"/>
                <w:szCs w:val="18"/>
                <w:lang w:eastAsia="en-US"/>
              </w:rPr>
              <w:t>Liczba osób biernych zawodowo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Pr="00FF6BDD" w:rsidRDefault="000F2161" w:rsidP="000F216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F6BDD">
              <w:rPr>
                <w:rFonts w:ascii="Arial" w:hAnsi="Arial" w:cs="Arial"/>
                <w:sz w:val="18"/>
                <w:szCs w:val="18"/>
                <w:lang w:eastAsia="en-US"/>
              </w:rPr>
              <w:t>Liczba osób z niepełnosprawnościami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Pr="00FF6BDD" w:rsidRDefault="000F2161" w:rsidP="000F216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F6BDD">
              <w:rPr>
                <w:rFonts w:ascii="Arial" w:hAnsi="Arial" w:cs="Arial"/>
                <w:sz w:val="18"/>
                <w:szCs w:val="18"/>
                <w:lang w:eastAsia="en-US"/>
              </w:rPr>
              <w:t>Liczba osób długotrwale bezrobotnych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Pr="00FF6BDD" w:rsidRDefault="000F2161" w:rsidP="000F216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F6BDD">
              <w:rPr>
                <w:rFonts w:ascii="Arial" w:hAnsi="Arial" w:cs="Arial"/>
                <w:sz w:val="18"/>
                <w:szCs w:val="18"/>
                <w:lang w:eastAsia="en-US"/>
              </w:rPr>
              <w:t>Liczba osób w wieku 50 lat i więcej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Pr="00FF6BDD" w:rsidRDefault="000F2161" w:rsidP="000F2161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Liczba osób</w:t>
            </w:r>
            <w:r w:rsidRPr="00FF6BD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9C7523">
              <w:rPr>
                <w:rFonts w:ascii="Arial" w:hAnsi="Arial" w:cs="Arial"/>
                <w:sz w:val="18"/>
                <w:szCs w:val="18"/>
                <w:lang w:eastAsia="en-US"/>
              </w:rPr>
              <w:t>pracujących znajdujących się w niekorzystnej sytuacji na rynku pracy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0F2161" w:rsidTr="00D20901">
        <w:trPr>
          <w:trHeight w:val="5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DD6EE"/>
            <w:vAlign w:val="center"/>
            <w:hideMark/>
          </w:tcPr>
          <w:p w:rsidR="000F2161" w:rsidRPr="009C7523" w:rsidRDefault="000F2161" w:rsidP="000F2161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C7523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WSKAŹNIKI REZULTATU WYNIKAJĄCE Z RPO WD 2014-2020</w:t>
            </w:r>
          </w:p>
        </w:tc>
      </w:tr>
      <w:tr w:rsidR="000F2161" w:rsidTr="00D20901">
        <w:trPr>
          <w:trHeight w:val="918"/>
        </w:trPr>
        <w:tc>
          <w:tcPr>
            <w:tcW w:w="26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0F2161" w:rsidRDefault="000F2161" w:rsidP="00D20901">
            <w:pPr>
              <w:spacing w:line="276" w:lineRule="auto"/>
              <w:ind w:left="57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Nazwa wskaźnika</w:t>
            </w:r>
          </w:p>
        </w:tc>
        <w:tc>
          <w:tcPr>
            <w:tcW w:w="23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BDD6EE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Szacunkowa wartość docelowa wskaźnika</w:t>
            </w:r>
          </w:p>
          <w:p w:rsidR="000F2161" w:rsidRDefault="000F2161" w:rsidP="00D20901">
            <w:pPr>
              <w:spacing w:line="276" w:lineRule="auto"/>
              <w:ind w:left="57"/>
              <w:jc w:val="center"/>
              <w:rPr>
                <w:rFonts w:ascii="Arial" w:hAnsi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/>
                <w:sz w:val="18"/>
                <w:szCs w:val="18"/>
              </w:rPr>
              <w:t>(Ogółem)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</w:t>
            </w:r>
            <w:r>
              <w:rPr>
                <w:rFonts w:ascii="Arial" w:hAnsi="Arial"/>
                <w:sz w:val="18"/>
                <w:szCs w:val="18"/>
              </w:rPr>
              <w:tab/>
              <w:t>Liczba osób pracujących, łącznie z prowadzącymi działalność na własny rachunek, po opuszczeniu programu (C) obliczana na podstawie liczby osób bezrobotnych, w tym długotrwale bezrobotnych,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55%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</w:t>
            </w:r>
            <w:r>
              <w:rPr>
                <w:rFonts w:ascii="Arial" w:hAnsi="Arial"/>
                <w:sz w:val="18"/>
                <w:szCs w:val="18"/>
              </w:rPr>
              <w:tab/>
              <w:t>Liczba osób, które uzyskały kwalifikacje po opuszczeniu programu (C) obliczana na podstawie liczby osób bezrobotnych, w tym długotrwale bezrobotnych,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</w:t>
            </w:r>
            <w:r>
              <w:rPr>
                <w:rFonts w:ascii="Arial" w:hAnsi="Arial"/>
                <w:sz w:val="18"/>
                <w:szCs w:val="18"/>
              </w:rPr>
              <w:tab/>
              <w:t>Liczba osób pracujących, łącznie z prowadzącymi działalność na własny rachunek, po opuszczeniu programu (C) obliczana na podstawie liczby osób długotrwale bezrobotnych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</w:t>
            </w:r>
            <w:r>
              <w:rPr>
                <w:rFonts w:ascii="Arial" w:hAnsi="Arial"/>
                <w:sz w:val="18"/>
                <w:szCs w:val="18"/>
              </w:rPr>
              <w:tab/>
              <w:t>Liczba osób, które uzyskały kwalifikacje po opuszczeniu programu (C) obliczana na podstawie liczby osób długotrwale bezrobotnych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5.     </w:t>
            </w:r>
            <w:r w:rsidRPr="006C60C2">
              <w:rPr>
                <w:rFonts w:ascii="Arial" w:hAnsi="Arial"/>
                <w:sz w:val="18"/>
                <w:szCs w:val="18"/>
              </w:rPr>
              <w:t>Liczba osób pracujących, łącznie z prowadzącymi działalność na własny rachunek, po opuszczeniu programu (C) obliczana na podstawie liczby osób biernych zawodowo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35%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 w:rsidRPr="006C60C2">
              <w:rPr>
                <w:rFonts w:ascii="Arial" w:hAnsi="Arial"/>
                <w:sz w:val="18"/>
                <w:szCs w:val="18"/>
              </w:rPr>
              <w:t xml:space="preserve">6. </w:t>
            </w:r>
            <w:r>
              <w:rPr>
                <w:rFonts w:ascii="Arial" w:hAnsi="Arial"/>
                <w:sz w:val="18"/>
                <w:szCs w:val="18"/>
              </w:rPr>
              <w:t xml:space="preserve">    </w:t>
            </w:r>
            <w:r w:rsidRPr="006C60C2">
              <w:rPr>
                <w:rFonts w:ascii="Arial" w:hAnsi="Arial"/>
                <w:sz w:val="18"/>
                <w:szCs w:val="18"/>
              </w:rPr>
              <w:t xml:space="preserve">Liczba osób, które uzyskały kwalifikacje po opuszczeniu programu (C) obliczana na podstawie </w:t>
            </w:r>
            <w:r w:rsidRPr="006C60C2">
              <w:rPr>
                <w:rFonts w:ascii="Arial" w:hAnsi="Arial"/>
                <w:sz w:val="18"/>
                <w:szCs w:val="18"/>
              </w:rPr>
              <w:lastRenderedPageBreak/>
              <w:t>liczby osób biernych zawodowo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20%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</w:t>
            </w:r>
            <w:r>
              <w:rPr>
                <w:rFonts w:ascii="Arial" w:hAnsi="Arial"/>
                <w:sz w:val="18"/>
                <w:szCs w:val="18"/>
              </w:rPr>
              <w:tab/>
              <w:t>Liczba osób pracujących, łącznie z prowadzącymi działalność na własny rachunek, po opuszczeniu programu (C) obliczana na podstawie liczby osób z niepełnosprawnościami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30%</w:t>
            </w:r>
          </w:p>
        </w:tc>
      </w:tr>
      <w:tr w:rsidR="000F2161" w:rsidTr="00D20901">
        <w:trPr>
          <w:trHeight w:val="567"/>
        </w:trPr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ind w:left="460" w:hanging="403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</w:t>
            </w:r>
            <w:r>
              <w:rPr>
                <w:rFonts w:ascii="Arial" w:hAnsi="Arial"/>
                <w:sz w:val="18"/>
                <w:szCs w:val="18"/>
              </w:rPr>
              <w:tab/>
              <w:t>Liczba osób, które uzyskały kwalifikacje po opuszczeniu programu  (C) obliczana na podstawie liczby osób z niepełnosprawnościami objętych wsparciem w programie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2161" w:rsidRDefault="000F2161" w:rsidP="00D20901">
            <w:pPr>
              <w:spacing w:line="276" w:lineRule="auto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10%</w:t>
            </w:r>
          </w:p>
        </w:tc>
      </w:tr>
    </w:tbl>
    <w:p w:rsidR="005758CC" w:rsidRDefault="005758CC" w:rsidP="00E67BE8">
      <w:pPr>
        <w:rPr>
          <w:rFonts w:asciiTheme="minorHAnsi" w:hAnsiTheme="minorHAnsi"/>
          <w:b/>
        </w:rPr>
      </w:pPr>
    </w:p>
    <w:p w:rsidR="005758CC" w:rsidRDefault="005758CC" w:rsidP="00E67BE8">
      <w:pPr>
        <w:rPr>
          <w:rFonts w:asciiTheme="minorHAnsi" w:hAnsiTheme="minorHAnsi"/>
          <w:b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 xml:space="preserve">WSKAŹNIKI HORYZONTALNE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 xml:space="preserve">a) Liczba projektów, w których sfinansowano koszty racjonalnych usprawnień dla osób </w:t>
      </w:r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br/>
        <w:t xml:space="preserve">z niepełnosprawnościami [szt.]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Racjonalne usprawnienie oznacza konieczne i odpowiednie zmiany oraz dostosowania, nie nakładające nieproporcjonalnego lub nadmiernego obciążenia, rozpatrywane osobno dla każdego konkretnego przypadku, w celu zapewnienia osobom z niepełnosprawnościami możliwości korzystania z wszelkich praw człowieka i podstawowych wolności oraz ich wykonywania na zasadzie równości z innymi osobami. Oznacza także możliwość sfinansowania specyficznych działań dostosowawczych, uruchamianych wraz z pojawieniem się w projektach realizowanych z polityki spójności (w charakterze uczestnika lub personelu) osoby z niepełnosprawnością. Wskaźnik mierzony w momencie rozliczenia wydatku związanego z racjonalnymi usprawnieniami w ramach danego projektu.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Przykłady racjonalnych usprawnień: tłumacz języka migowego, transport niskopodłogowy, dostosowanie infrastruktury (nie tylko budynku, ale też dostosowanie infrastruktury komputerowej np. programy powiększające, mówiące, drukarki materiałów w alfabecie Braille'a), osoby asystujące, odpowiednie dostosowanie wyżywienia. </w:t>
      </w:r>
    </w:p>
    <w:p w:rsidR="00EA7DE9" w:rsidRPr="00EA7DE9" w:rsidRDefault="00EA7DE9" w:rsidP="00EA7DE9">
      <w:pPr>
        <w:widowControl/>
        <w:autoSpaceDE/>
        <w:autoSpaceDN/>
        <w:adjustRightInd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>Do wskaźnika wliczane są zarówno projekty ogólnodostępne, w których sfinansowano koszty racjonalnych usprawnień, jak i dedykowane.</w:t>
      </w:r>
    </w:p>
    <w:p w:rsidR="00EA7DE9" w:rsidRPr="00EA7DE9" w:rsidRDefault="00EA7DE9" w:rsidP="00EA7DE9">
      <w:pPr>
        <w:widowControl/>
        <w:autoSpaceDE/>
        <w:autoSpaceDN/>
        <w:adjustRightInd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 xml:space="preserve">b) Liczba obiektów dostosowanych do potrzeb osób z niepełnosprawnościami [szt.]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Wskaźnik odnosi się do liczby obiektów, które zaopatrzono w specjalne podjazdy, windy, urządzenia głośnomówiące, bądź inne rozwiązania umożliwiające dostęp (tj. usunięcie barier w dostępie, w szczególności barier architektonicznych) do tych obiektów i poruszanie się po nich osobom z niepełnosprawnościami ruchowymi czy sensorycznymi.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lastRenderedPageBreak/>
        <w:t xml:space="preserve">Jako obiekty rozumie się obiekty budowlane, czyli konstrukcje połączone z gruntem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br/>
        <w:t xml:space="preserve">w sposób trwały, wykonane z materiałów budowlanych i elementów składowych, będące wynikiem prac budowlanych (wg. def. PKOB).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Należy podać liczbę obiektów, w których zastosowano rozwiązania umożliwiające dostęp osobom z niepełnosprawnościami ruchowymi czy sensorycznymi lub zaopatrzonych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br/>
        <w:t xml:space="preserve">w sprzęt, a nie liczbę sprzętów, urządzeń itp.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Jeśli instytucja, zakład itp. składa się z kilku obiektów, należy zliczyć wszystkie, które dostosowano do potrzeb osób z niepełnosprawnościami.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Wskaźnik mierzony w momencie rozliczenia wydatku związanego z wyposażeniem obiektów w rozwiązania służące osobom z niepełnosprawnościami w ramach danego projektu.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Do wskaźnika powinny zostać wliczone zarówno obiekty dostosowane w projektach ogólnodostępnych, jak i dedykowanych.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 xml:space="preserve">c) Liczba osób objętych szkoleniami/doradztwem w zakresie kompetencji cyfrowych [osoby]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autoSpaceDE/>
        <w:autoSpaceDN/>
        <w:adjustRightInd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Wskaźnik mierzy liczbę osób objętych szkoleniami/doradztwem w zakresie nabywania/ doskonalenia umiejętności warunkujących efektywne korzystanie z mediów elektronicznych tj. m.in. korzystania z komputera, różnych rodzajów oprogramowania, </w:t>
      </w:r>
      <w:proofErr w:type="spellStart"/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>internetu</w:t>
      </w:r>
      <w:proofErr w:type="spellEnd"/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 oraz kompetencji ściśle informatycznych (np. programowanie, zarządzanie bazami danych, administracja sieciami, administracja witrynami internetowymi).</w:t>
      </w:r>
    </w:p>
    <w:p w:rsidR="00EA7DE9" w:rsidRPr="00EA7DE9" w:rsidRDefault="00EA7DE9" w:rsidP="00EA7DE9">
      <w:pPr>
        <w:widowControl/>
        <w:autoSpaceDE/>
        <w:autoSpaceDN/>
        <w:adjustRightInd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Wskaźnik ma agregować wszystkie osoby, które skorzystały ze wsparcia w zakresie TIK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br/>
        <w:t xml:space="preserve">we wszystkich programach i projektach, także tych, gdzie szkolenie dotyczy obsługi specyficznego systemu teleinformatycznego, którego wdrożenia dotyczy projekt.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br/>
        <w:t xml:space="preserve">Do wskaźnika powinni zostać wliczeni wszyscy uczestnicy projektów zawierających określony rodzaj wsparcia, w tym również np. uczniowie nabywający kompetencje w ramach zajęć szkolnych, jeśli wsparcie to dotyczy technologii informacyjno-komunikacyjnych. Identyfikacja charakteru i zakresu nabywanych kompetencji będzie możliwa dzięki możliwości pogrupowania wskaźnika według programów, osi priorytetowych i priorytetów inwestycyjnych.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 xml:space="preserve">d) Liczba podmiotów wykorzystujących technologie </w:t>
      </w:r>
      <w:proofErr w:type="spellStart"/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>informacyjno</w:t>
      </w:r>
      <w:proofErr w:type="spellEnd"/>
      <w:r w:rsidRPr="00EA7DE9">
        <w:rPr>
          <w:rFonts w:asciiTheme="minorHAnsi" w:eastAsia="Calibri" w:hAnsiTheme="minorHAnsi" w:cstheme="minorHAnsi"/>
          <w:b/>
          <w:bCs/>
          <w:color w:val="000000"/>
          <w:szCs w:val="22"/>
          <w:lang w:eastAsia="pl-PL"/>
        </w:rPr>
        <w:t xml:space="preserve">–komunikacyjne (TIK) [szt.]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Wskaźnik mierzy liczbę podmiotów, które w celu realizacji projektu, zainwestowały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br/>
        <w:t xml:space="preserve">w technologie informacyjno-komunikacyjne, a w przypadku projektów edukacyjno-szkoleniowych, również podmiotów, które podjęły działania upowszechniające wykorzystanie TIK.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Przez technologie informacyjno-komunikacyjne (ang. ICT – Information and Communications Technology) należy rozumieć technologie pozyskiwania/ produkcji, gromadzenia/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lastRenderedPageBreak/>
        <w:t xml:space="preserve">przechowywania, przesyłania, przetwarzania i rozpowszechniania informacji w formie elektronicznej z wykorzystaniem technik cyfrowych i wszelkich narzędzi komunikacji elektronicznej oraz wszelkie działania związane z produkcją i wykorzystaniem urządzeń telekomunikacyjnych i informatycznych oraz usług im towarzyszących; działania edukacyjne i szkoleniowe. </w:t>
      </w:r>
    </w:p>
    <w:p w:rsidR="00EA7DE9" w:rsidRPr="00EA7DE9" w:rsidRDefault="00EA7DE9" w:rsidP="00EA7DE9">
      <w:pPr>
        <w:widowControl/>
        <w:autoSpaceDE/>
        <w:autoSpaceDN/>
        <w:adjustRightInd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 zakresie EFS podmioty wykorzystujące TIK należy rozumieć jako podmioty (beneficjenci/ partnerzy beneficjentów), które w ramach realizowanego przez nie projektu wspierają wykorzystywanie technik poprzez: np. propagowanie/ szkolenie/ zakup TIK lub podmioty, które otrzymują wsparcie w tym zakresie (uczestnicy projektów). Podmiotu, do którego odnosi się wskaźnik, w przypadku gdy nie spełnia definicji uczestnika projektu zgodnie 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br/>
        <w:t xml:space="preserve">z rozdziałem 3.3 </w:t>
      </w:r>
      <w:r w:rsidRPr="00EA7DE9">
        <w:rPr>
          <w:rFonts w:asciiTheme="minorHAnsi" w:eastAsia="Calibri" w:hAnsiTheme="minorHAnsi" w:cstheme="minorHAnsi"/>
          <w:i/>
          <w:iCs/>
          <w:color w:val="000000"/>
          <w:szCs w:val="22"/>
          <w:lang w:eastAsia="pl-PL"/>
        </w:rPr>
        <w:t>Wytycznych w zakresie monitorowania postępu rzeczowego realizacji programów operacyjnych na lata 2014-2020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, nie należy wykazywać w module </w:t>
      </w:r>
      <w:r w:rsidRPr="00EA7DE9">
        <w:rPr>
          <w:rFonts w:asciiTheme="minorHAnsi" w:eastAsia="Calibri" w:hAnsiTheme="minorHAnsi" w:cstheme="minorHAnsi"/>
          <w:i/>
          <w:iCs/>
          <w:color w:val="000000"/>
          <w:szCs w:val="22"/>
          <w:lang w:eastAsia="pl-PL"/>
        </w:rPr>
        <w:t>Uczestnicy projektów w SL2014</w:t>
      </w: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Podmiotami realizującymi projekty TIK mogą być m.in.: MŚP, duże przedsiębiorstwa, administracja publiczna, w tym jednostki samorządu terytorialnego, NGO, jednostki naukowe, szkoły, które będą wykorzystywać TIK do usprawnienia swojego działania i do prowadzenia relacji z innymi podmiotami.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  <w:r w:rsidRPr="00EA7DE9">
        <w:rPr>
          <w:rFonts w:asciiTheme="minorHAnsi" w:eastAsia="Calibri" w:hAnsiTheme="minorHAnsi" w:cstheme="minorHAnsi"/>
          <w:color w:val="000000"/>
          <w:szCs w:val="22"/>
          <w:lang w:eastAsia="pl-PL"/>
        </w:rPr>
        <w:t xml:space="preserve">W przypadku gdy beneficjentem pozostaje jeden podmiot, we wskaźniku należy ująć wartość „1”. W przypadku gdy projekt jest realizowany przez partnerstwo podmiotów, w wartości wskaźnika należy ująć każdy z podmiotów wchodzących w skład partnerstwa, który wdrożył w swojej działalności narzędzia TIK. </w:t>
      </w: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Pr="00EA7DE9" w:rsidRDefault="00EA7DE9" w:rsidP="00EA7DE9">
      <w:pPr>
        <w:widowControl/>
        <w:spacing w:line="276" w:lineRule="auto"/>
        <w:rPr>
          <w:rFonts w:asciiTheme="minorHAnsi" w:eastAsia="Calibri" w:hAnsiTheme="minorHAnsi" w:cstheme="minorHAnsi"/>
          <w:color w:val="000000"/>
          <w:szCs w:val="22"/>
          <w:lang w:eastAsia="pl-PL"/>
        </w:rPr>
      </w:pPr>
    </w:p>
    <w:p w:rsidR="00EA7DE9" w:rsidRDefault="00EA7DE9" w:rsidP="00EA7DE9">
      <w:pPr>
        <w:pStyle w:val="Akapitzlist"/>
        <w:numPr>
          <w:ilvl w:val="0"/>
          <w:numId w:val="7"/>
        </w:numPr>
        <w:autoSpaceDE/>
        <w:autoSpaceDN/>
        <w:spacing w:after="200" w:line="276" w:lineRule="auto"/>
        <w:ind w:left="284" w:hanging="284"/>
        <w:contextualSpacing/>
        <w:rPr>
          <w:rFonts w:ascii="Calibri" w:eastAsia="Calibri" w:hAnsi="Calibri"/>
          <w:b/>
          <w:sz w:val="24"/>
        </w:rPr>
      </w:pPr>
      <w:r w:rsidRPr="00EA7DE9">
        <w:rPr>
          <w:rFonts w:ascii="Calibri" w:eastAsia="Calibri" w:hAnsi="Calibri"/>
          <w:b/>
          <w:sz w:val="24"/>
        </w:rPr>
        <w:t>Liczba osób objętych wsparciem w zakresie zwalczania lub przeciwdziałania skutkom pandemii COVID-19;</w:t>
      </w:r>
    </w:p>
    <w:p w:rsidR="00EA7DE9" w:rsidRPr="00EA7DE9" w:rsidRDefault="00EA7DE9" w:rsidP="00EA7DE9">
      <w:pPr>
        <w:pStyle w:val="Akapitzlist"/>
        <w:autoSpaceDE/>
        <w:autoSpaceDN/>
        <w:spacing w:after="200" w:line="276" w:lineRule="auto"/>
        <w:ind w:left="284"/>
        <w:contextualSpacing/>
        <w:rPr>
          <w:rFonts w:ascii="Calibri" w:eastAsia="Calibri" w:hAnsi="Calibri"/>
          <w:b/>
          <w:sz w:val="24"/>
        </w:rPr>
      </w:pPr>
    </w:p>
    <w:p w:rsidR="00EA7DE9" w:rsidRDefault="00EA7DE9" w:rsidP="00EA7DE9">
      <w:pPr>
        <w:pStyle w:val="Akapitzlist"/>
        <w:numPr>
          <w:ilvl w:val="0"/>
          <w:numId w:val="7"/>
        </w:numPr>
        <w:autoSpaceDE/>
        <w:autoSpaceDN/>
        <w:spacing w:after="200" w:line="276" w:lineRule="auto"/>
        <w:ind w:left="284" w:hanging="284"/>
        <w:contextualSpacing/>
        <w:rPr>
          <w:rFonts w:ascii="Calibri" w:eastAsia="Calibri" w:hAnsi="Calibri"/>
          <w:b/>
          <w:sz w:val="24"/>
        </w:rPr>
      </w:pPr>
      <w:r w:rsidRPr="00EA7DE9">
        <w:rPr>
          <w:rFonts w:ascii="Calibri" w:eastAsia="Calibri" w:hAnsi="Calibri"/>
          <w:b/>
          <w:sz w:val="24"/>
        </w:rPr>
        <w:t>Liczba podmiotów objętych wsparciem w zakresie zwalczania lub przeciwdziałania skutkom pandemii COVID-19;</w:t>
      </w:r>
    </w:p>
    <w:p w:rsidR="00EA7DE9" w:rsidRPr="00EA7DE9" w:rsidRDefault="00EA7DE9" w:rsidP="00EA7DE9">
      <w:pPr>
        <w:pStyle w:val="Akapitzlist"/>
        <w:rPr>
          <w:rFonts w:ascii="Calibri" w:eastAsia="Calibri" w:hAnsi="Calibri"/>
          <w:b/>
          <w:sz w:val="24"/>
        </w:rPr>
      </w:pPr>
    </w:p>
    <w:p w:rsidR="00EA7DE9" w:rsidRPr="00EA7DE9" w:rsidRDefault="00EA7DE9" w:rsidP="00EA7DE9">
      <w:pPr>
        <w:pStyle w:val="Akapitzlist"/>
        <w:autoSpaceDE/>
        <w:autoSpaceDN/>
        <w:spacing w:after="200" w:line="276" w:lineRule="auto"/>
        <w:ind w:left="284"/>
        <w:contextualSpacing/>
        <w:rPr>
          <w:rFonts w:ascii="Calibri" w:eastAsia="Calibri" w:hAnsi="Calibri"/>
          <w:b/>
          <w:sz w:val="24"/>
        </w:rPr>
      </w:pPr>
    </w:p>
    <w:p w:rsidR="00EA7DE9" w:rsidRPr="00EA7DE9" w:rsidRDefault="00EA7DE9" w:rsidP="00EA7DE9">
      <w:pPr>
        <w:pStyle w:val="Akapitzlist"/>
        <w:numPr>
          <w:ilvl w:val="0"/>
          <w:numId w:val="7"/>
        </w:numPr>
        <w:autoSpaceDE/>
        <w:autoSpaceDN/>
        <w:spacing w:after="200" w:line="276" w:lineRule="auto"/>
        <w:ind w:left="284" w:hanging="284"/>
        <w:contextualSpacing/>
        <w:rPr>
          <w:rFonts w:ascii="Calibri" w:eastAsia="Calibri" w:hAnsi="Calibri"/>
          <w:b/>
          <w:sz w:val="24"/>
        </w:rPr>
      </w:pPr>
      <w:r w:rsidRPr="00EA7DE9">
        <w:rPr>
          <w:rFonts w:ascii="Calibri" w:eastAsia="Calibri" w:hAnsi="Calibri"/>
          <w:b/>
          <w:sz w:val="24"/>
        </w:rPr>
        <w:t>Wartość wydatków kwalifikowalnych przeznaczonych na działania związane z epidemią COVID-19.</w:t>
      </w:r>
    </w:p>
    <w:p w:rsidR="005758CC" w:rsidRPr="00EA7DE9" w:rsidRDefault="005758CC" w:rsidP="00EA7DE9">
      <w:pPr>
        <w:rPr>
          <w:rFonts w:asciiTheme="minorHAnsi" w:hAnsiTheme="minorHAnsi"/>
          <w:b/>
          <w:szCs w:val="24"/>
        </w:rPr>
      </w:pPr>
    </w:p>
    <w:p w:rsidR="00822059" w:rsidRDefault="00822059" w:rsidP="00E67BE8">
      <w:pPr>
        <w:jc w:val="right"/>
      </w:pPr>
      <w:bookmarkStart w:id="0" w:name="_GoBack"/>
      <w:bookmarkEnd w:id="0"/>
    </w:p>
    <w:sectPr w:rsidR="00822059" w:rsidSect="005758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0AA0"/>
    <w:multiLevelType w:val="hybridMultilevel"/>
    <w:tmpl w:val="CEEEFCEE"/>
    <w:lvl w:ilvl="0" w:tplc="CC1C03D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24917DD0"/>
    <w:multiLevelType w:val="hybridMultilevel"/>
    <w:tmpl w:val="87C87A2A"/>
    <w:lvl w:ilvl="0" w:tplc="205E27B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B3690"/>
    <w:multiLevelType w:val="hybridMultilevel"/>
    <w:tmpl w:val="CEEEFCEE"/>
    <w:lvl w:ilvl="0" w:tplc="CC1C03D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96D1DF5"/>
    <w:multiLevelType w:val="hybridMultilevel"/>
    <w:tmpl w:val="45D0B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708E8"/>
    <w:multiLevelType w:val="hybridMultilevel"/>
    <w:tmpl w:val="7E8096B4"/>
    <w:lvl w:ilvl="0" w:tplc="812009DC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D1760"/>
    <w:multiLevelType w:val="hybridMultilevel"/>
    <w:tmpl w:val="4D529850"/>
    <w:lvl w:ilvl="0" w:tplc="AD18DB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3472A"/>
    <w:multiLevelType w:val="hybridMultilevel"/>
    <w:tmpl w:val="B94C0DE0"/>
    <w:lvl w:ilvl="0" w:tplc="8FECF7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>
      <w:start w:val="1"/>
      <w:numFmt w:val="lowerLetter"/>
      <w:lvlText w:val="%5."/>
      <w:lvlJc w:val="left"/>
      <w:pPr>
        <w:ind w:left="3713" w:hanging="360"/>
      </w:pPr>
    </w:lvl>
    <w:lvl w:ilvl="5" w:tplc="0415001B">
      <w:start w:val="1"/>
      <w:numFmt w:val="lowerRoman"/>
      <w:lvlText w:val="%6."/>
      <w:lvlJc w:val="right"/>
      <w:pPr>
        <w:ind w:left="4433" w:hanging="180"/>
      </w:pPr>
    </w:lvl>
    <w:lvl w:ilvl="6" w:tplc="0415000F">
      <w:start w:val="1"/>
      <w:numFmt w:val="decimal"/>
      <w:lvlText w:val="%7."/>
      <w:lvlJc w:val="left"/>
      <w:pPr>
        <w:ind w:left="5153" w:hanging="360"/>
      </w:pPr>
    </w:lvl>
    <w:lvl w:ilvl="7" w:tplc="04150019">
      <w:start w:val="1"/>
      <w:numFmt w:val="lowerLetter"/>
      <w:lvlText w:val="%8."/>
      <w:lvlJc w:val="left"/>
      <w:pPr>
        <w:ind w:left="5873" w:hanging="360"/>
      </w:pPr>
    </w:lvl>
    <w:lvl w:ilvl="8" w:tplc="0415001B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059"/>
    <w:rsid w:val="000F2161"/>
    <w:rsid w:val="00111084"/>
    <w:rsid w:val="00393B19"/>
    <w:rsid w:val="005758CC"/>
    <w:rsid w:val="00593D35"/>
    <w:rsid w:val="00822059"/>
    <w:rsid w:val="00B92937"/>
    <w:rsid w:val="00B92E31"/>
    <w:rsid w:val="00BC531D"/>
    <w:rsid w:val="00C422C6"/>
    <w:rsid w:val="00D15022"/>
    <w:rsid w:val="00E67BE8"/>
    <w:rsid w:val="00EA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B6791-904F-44E9-9A7F-7BC7E67F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205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20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059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uiPriority w:val="34"/>
    <w:qFormat/>
    <w:rsid w:val="000F2161"/>
    <w:pPr>
      <w:widowControl/>
      <w:adjustRightInd/>
      <w:spacing w:line="240" w:lineRule="auto"/>
      <w:ind w:left="708"/>
    </w:pPr>
    <w:rPr>
      <w:rFonts w:eastAsia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34"/>
    <w:qFormat/>
    <w:rsid w:val="000F2161"/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1235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estanczak</dc:creator>
  <cp:lastModifiedBy>Edyta Czarna</cp:lastModifiedBy>
  <cp:revision>10</cp:revision>
  <dcterms:created xsi:type="dcterms:W3CDTF">2018-03-12T11:02:00Z</dcterms:created>
  <dcterms:modified xsi:type="dcterms:W3CDTF">2020-04-30T08:20:00Z</dcterms:modified>
</cp:coreProperties>
</file>