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91" w:rsidRDefault="007D61A6">
      <w:r w:rsidRPr="00145835">
        <w:rPr>
          <w:rFonts w:ascii="Calibri" w:hAnsi="Calibri"/>
          <w:b/>
          <w:noProof/>
          <w:lang w:eastAsia="pl-PL"/>
        </w:rPr>
        <w:drawing>
          <wp:inline distT="0" distB="0" distL="0" distR="0" wp14:anchorId="22FA7823" wp14:editId="7DDF9341">
            <wp:extent cx="5753100" cy="571500"/>
            <wp:effectExtent l="0" t="0" r="0" b="0"/>
            <wp:docPr id="2" name="Obraz 2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A6" w:rsidRDefault="007D61A6"/>
    <w:p w:rsidR="007D61A6" w:rsidRPr="00120194" w:rsidRDefault="007D61A6" w:rsidP="007D61A6">
      <w:pPr>
        <w:rPr>
          <w:b/>
          <w:sz w:val="28"/>
          <w:szCs w:val="28"/>
        </w:rPr>
      </w:pPr>
      <w:r w:rsidRPr="00120194">
        <w:rPr>
          <w:b/>
          <w:sz w:val="28"/>
          <w:szCs w:val="28"/>
        </w:rPr>
        <w:t xml:space="preserve">Podstawowe informacje dotyczące trwałości rezultatów i trwałości projektu </w:t>
      </w:r>
    </w:p>
    <w:p w:rsidR="007D61A6" w:rsidRDefault="007D61A6" w:rsidP="007D61A6">
      <w:pPr>
        <w:rPr>
          <w:sz w:val="24"/>
          <w:szCs w:val="24"/>
        </w:rPr>
      </w:pPr>
    </w:p>
    <w:p w:rsidR="007D61A6" w:rsidRDefault="007D61A6" w:rsidP="007D61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Szanowni Państwo,</w:t>
      </w:r>
    </w:p>
    <w:p w:rsidR="007D61A6" w:rsidRPr="0048333D" w:rsidRDefault="007D61A6" w:rsidP="007D61A6">
      <w:pPr>
        <w:spacing w:after="0" w:line="276" w:lineRule="auto"/>
        <w:rPr>
          <w:sz w:val="24"/>
          <w:szCs w:val="24"/>
        </w:rPr>
      </w:pPr>
      <w:r w:rsidRPr="0048333D">
        <w:rPr>
          <w:sz w:val="24"/>
          <w:szCs w:val="24"/>
        </w:rPr>
        <w:t xml:space="preserve">zakończenie realizacji projektu nie oznacza wypełnienia wszystkich </w:t>
      </w:r>
      <w:r>
        <w:rPr>
          <w:sz w:val="24"/>
          <w:szCs w:val="24"/>
        </w:rPr>
        <w:t xml:space="preserve">Państwa </w:t>
      </w:r>
      <w:r w:rsidRPr="0048333D">
        <w:rPr>
          <w:sz w:val="24"/>
          <w:szCs w:val="24"/>
        </w:rPr>
        <w:t>obowiązków związanych z projektem</w:t>
      </w:r>
      <w:r>
        <w:rPr>
          <w:sz w:val="24"/>
          <w:szCs w:val="24"/>
        </w:rPr>
        <w:t>. W</w:t>
      </w:r>
      <w:r w:rsidRPr="0048333D">
        <w:rPr>
          <w:sz w:val="24"/>
          <w:szCs w:val="24"/>
        </w:rPr>
        <w:t xml:space="preserve"> zakończo</w:t>
      </w:r>
      <w:r w:rsidR="00DD1ABC">
        <w:rPr>
          <w:sz w:val="24"/>
          <w:szCs w:val="24"/>
        </w:rPr>
        <w:t>nym</w:t>
      </w:r>
      <w:bookmarkStart w:id="0" w:name="_GoBack"/>
      <w:bookmarkEnd w:id="0"/>
      <w:r w:rsidRPr="0048333D">
        <w:rPr>
          <w:sz w:val="24"/>
          <w:szCs w:val="24"/>
        </w:rPr>
        <w:t xml:space="preserve"> projek</w:t>
      </w:r>
      <w:r>
        <w:rPr>
          <w:sz w:val="24"/>
          <w:szCs w:val="24"/>
        </w:rPr>
        <w:t>cie</w:t>
      </w:r>
      <w:r w:rsidRPr="0048333D">
        <w:rPr>
          <w:sz w:val="24"/>
          <w:szCs w:val="24"/>
        </w:rPr>
        <w:t xml:space="preserve"> </w:t>
      </w:r>
      <w:r>
        <w:rPr>
          <w:sz w:val="24"/>
          <w:szCs w:val="24"/>
        </w:rPr>
        <w:t>zweryfikujemy</w:t>
      </w:r>
      <w:r w:rsidRPr="0048333D">
        <w:rPr>
          <w:sz w:val="24"/>
          <w:szCs w:val="24"/>
        </w:rPr>
        <w:t xml:space="preserve">, czy zakłada on utrzymanie trwałości, dla której konieczne będzie dalsze </w:t>
      </w:r>
      <w:r>
        <w:rPr>
          <w:sz w:val="24"/>
          <w:szCs w:val="24"/>
        </w:rPr>
        <w:t xml:space="preserve">Państwa </w:t>
      </w:r>
      <w:r w:rsidRPr="0048333D">
        <w:rPr>
          <w:sz w:val="24"/>
          <w:szCs w:val="24"/>
        </w:rPr>
        <w:t>raportowanie do</w:t>
      </w:r>
      <w:r>
        <w:rPr>
          <w:sz w:val="24"/>
          <w:szCs w:val="24"/>
        </w:rPr>
        <w:t xml:space="preserve"> naszej instytucji</w:t>
      </w:r>
      <w:r w:rsidRPr="004833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8333D">
        <w:rPr>
          <w:sz w:val="24"/>
          <w:szCs w:val="24"/>
        </w:rPr>
        <w:t>Instytucji Pośredniczącej</w:t>
      </w:r>
      <w:r>
        <w:rPr>
          <w:sz w:val="24"/>
          <w:szCs w:val="24"/>
        </w:rPr>
        <w:t>)</w:t>
      </w:r>
      <w:r w:rsidRPr="0048333D">
        <w:rPr>
          <w:sz w:val="24"/>
          <w:szCs w:val="24"/>
        </w:rPr>
        <w:t xml:space="preserve">. </w:t>
      </w:r>
    </w:p>
    <w:p w:rsidR="007D61A6" w:rsidRPr="0048333D" w:rsidRDefault="007D61A6" w:rsidP="007D61A6">
      <w:p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color w:val="333333"/>
          <w:sz w:val="24"/>
          <w:szCs w:val="24"/>
          <w:lang w:eastAsia="pl-PL"/>
        </w:rPr>
        <w:br/>
      </w:r>
      <w:r w:rsidRPr="007D61A6">
        <w:rPr>
          <w:rFonts w:eastAsia="Times New Roman" w:cs="Times New Roman"/>
          <w:b/>
          <w:color w:val="333333"/>
          <w:sz w:val="24"/>
          <w:szCs w:val="24"/>
          <w:lang w:eastAsia="pl-PL"/>
        </w:rPr>
        <w:t>Okres trwałości projektu to czas, w którym należy zachować w niezmienionej formie i wymiarze efekty projektu.</w:t>
      </w: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Dotyczy to np. zakupionych środków trwa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łych (sprzętu lub wyposażenia) </w:t>
      </w: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 xml:space="preserve">lub utworzonych miejsc w 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>żłobkach</w:t>
      </w: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>.</w:t>
      </w: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br/>
        <w:t> </w:t>
      </w:r>
    </w:p>
    <w:p w:rsidR="007D61A6" w:rsidRPr="0048333D" w:rsidRDefault="007D61A6" w:rsidP="007D61A6">
      <w:pPr>
        <w:spacing w:after="0" w:line="276" w:lineRule="auto"/>
        <w:rPr>
          <w:sz w:val="24"/>
          <w:szCs w:val="24"/>
        </w:rPr>
      </w:pPr>
      <w:r w:rsidRPr="0048333D">
        <w:rPr>
          <w:sz w:val="24"/>
          <w:szCs w:val="24"/>
        </w:rPr>
        <w:t xml:space="preserve">W przypadku projektów realizowanych w ramach </w:t>
      </w:r>
      <w:r w:rsidRPr="003C3C8A">
        <w:rPr>
          <w:rFonts w:eastAsia="Times New Roman" w:cs="Times New Roman"/>
          <w:bCs/>
          <w:color w:val="333333"/>
          <w:sz w:val="24"/>
          <w:szCs w:val="24"/>
          <w:lang w:eastAsia="pl-PL"/>
        </w:rPr>
        <w:t>działania 8.4 RPO WD 2014-2020,</w:t>
      </w:r>
      <w:r w:rsidRPr="0048333D"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48333D">
        <w:rPr>
          <w:sz w:val="24"/>
          <w:szCs w:val="24"/>
        </w:rPr>
        <w:t xml:space="preserve">zakładających utworzenie miejsc opieki nad dziećmi w wieku do lat 3, </w:t>
      </w:r>
      <w:r w:rsidRPr="003C3C8A">
        <w:rPr>
          <w:b/>
          <w:sz w:val="24"/>
          <w:szCs w:val="24"/>
        </w:rPr>
        <w:t>trwałość</w:t>
      </w:r>
      <w:r w:rsidRPr="0048333D">
        <w:rPr>
          <w:sz w:val="24"/>
          <w:szCs w:val="24"/>
        </w:rPr>
        <w:t xml:space="preserve"> rozumiana jest </w:t>
      </w:r>
      <w:r w:rsidRPr="003C3C8A">
        <w:rPr>
          <w:sz w:val="24"/>
          <w:szCs w:val="24"/>
        </w:rPr>
        <w:t>jako</w:t>
      </w:r>
      <w:r w:rsidRPr="0048333D">
        <w:rPr>
          <w:b/>
          <w:sz w:val="24"/>
          <w:szCs w:val="24"/>
        </w:rPr>
        <w:t xml:space="preserve"> gotowość do świadczenia opieki nad dziećmi w ramach utworzonych miejsc w okresie co najmniej 2 lat od zakończenia realizacji projektu.</w:t>
      </w:r>
    </w:p>
    <w:p w:rsidR="007D61A6" w:rsidRPr="0048333D" w:rsidRDefault="007D61A6" w:rsidP="007D61A6">
      <w:p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</w:p>
    <w:p w:rsidR="007D61A6" w:rsidRPr="003C3C8A" w:rsidRDefault="007D61A6" w:rsidP="007D61A6">
      <w:pPr>
        <w:shd w:val="clear" w:color="auto" w:fill="FFFFFF"/>
        <w:spacing w:after="0" w:line="276" w:lineRule="auto"/>
        <w:rPr>
          <w:rFonts w:eastAsia="Times New Roman" w:cs="Times New Roman"/>
          <w:b/>
          <w:color w:val="333333"/>
          <w:sz w:val="24"/>
          <w:szCs w:val="24"/>
          <w:lang w:eastAsia="pl-PL"/>
        </w:rPr>
      </w:pPr>
      <w:r w:rsidRPr="003C3C8A">
        <w:rPr>
          <w:rFonts w:eastAsia="Times New Roman" w:cs="Times New Roman"/>
          <w:b/>
          <w:color w:val="333333"/>
          <w:sz w:val="24"/>
          <w:szCs w:val="24"/>
          <w:lang w:eastAsia="pl-PL"/>
        </w:rPr>
        <w:t xml:space="preserve">Okres trwałości liczony jest od daty płatności końcowej. </w:t>
      </w:r>
    </w:p>
    <w:p w:rsidR="007D61A6" w:rsidRDefault="007D61A6" w:rsidP="007D61A6">
      <w:p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color w:val="333333"/>
          <w:sz w:val="24"/>
          <w:szCs w:val="24"/>
          <w:lang w:eastAsia="pl-PL"/>
        </w:rPr>
        <w:t>D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>at</w:t>
      </w:r>
      <w:r>
        <w:rPr>
          <w:rFonts w:eastAsia="Times New Roman" w:cs="Times New Roman"/>
          <w:color w:val="333333"/>
          <w:sz w:val="24"/>
          <w:szCs w:val="24"/>
          <w:lang w:eastAsia="pl-PL"/>
        </w:rPr>
        <w:t>ą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płatności końcowej </w:t>
      </w:r>
      <w:r>
        <w:rPr>
          <w:rFonts w:eastAsia="Times New Roman" w:cs="Times New Roman"/>
          <w:color w:val="333333"/>
          <w:sz w:val="24"/>
          <w:szCs w:val="24"/>
          <w:lang w:eastAsia="pl-PL"/>
        </w:rPr>
        <w:t>jest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>:</w:t>
      </w:r>
    </w:p>
    <w:p w:rsidR="007D61A6" w:rsidRPr="003C3C8A" w:rsidRDefault="007D61A6" w:rsidP="007D61A6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3C3C8A">
        <w:rPr>
          <w:rFonts w:eastAsia="Times New Roman" w:cs="Times New Roman"/>
          <w:color w:val="333333"/>
          <w:sz w:val="24"/>
          <w:szCs w:val="24"/>
          <w:lang w:eastAsia="pl-PL"/>
        </w:rPr>
        <w:t>w przypadku, gdy środki przekazywane są w ramach rozliczenia wniosku o płatność końcową – data przelewu na rachunek bankowy Beneficjenta,</w:t>
      </w:r>
    </w:p>
    <w:p w:rsidR="007D61A6" w:rsidRPr="003C3C8A" w:rsidRDefault="007D61A6" w:rsidP="007D61A6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3C3C8A">
        <w:rPr>
          <w:rFonts w:eastAsia="Times New Roman" w:cs="Times New Roman"/>
          <w:color w:val="333333"/>
          <w:sz w:val="24"/>
          <w:szCs w:val="24"/>
          <w:lang w:eastAsia="pl-PL"/>
        </w:rPr>
        <w:t>w pozostałych przypadkach – data zatwierdzenia wniosku o płatność końcową.</w:t>
      </w:r>
      <w:r w:rsidRPr="003C3C8A">
        <w:rPr>
          <w:rFonts w:eastAsia="Times New Roman" w:cs="Times New Roman"/>
          <w:color w:val="333333"/>
          <w:sz w:val="24"/>
          <w:szCs w:val="24"/>
          <w:lang w:eastAsia="pl-PL"/>
        </w:rPr>
        <w:br/>
        <w:t> </w:t>
      </w:r>
    </w:p>
    <w:p w:rsidR="007D61A6" w:rsidRDefault="007D61A6" w:rsidP="007D61A6">
      <w:pPr>
        <w:pStyle w:val="NormalnyWeb"/>
        <w:shd w:val="clear" w:color="auto" w:fill="FFFFFF"/>
        <w:spacing w:after="0" w:line="276" w:lineRule="auto"/>
        <w:rPr>
          <w:rFonts w:asciiTheme="minorHAnsi" w:eastAsia="Times New Roman" w:hAnsiTheme="minorHAnsi"/>
          <w:color w:val="333333"/>
          <w:lang w:eastAsia="pl-PL"/>
        </w:rPr>
      </w:pPr>
      <w:r w:rsidRPr="007D61A6">
        <w:rPr>
          <w:rFonts w:asciiTheme="minorHAnsi" w:eastAsia="Times New Roman" w:hAnsiTheme="minorHAnsi"/>
          <w:b/>
          <w:color w:val="333333"/>
          <w:lang w:eastAsia="pl-PL"/>
        </w:rPr>
        <w:t>Naruszenie zasady trwałości może powodować</w:t>
      </w:r>
      <w:r w:rsidRPr="007D61A6">
        <w:rPr>
          <w:rFonts w:asciiTheme="minorHAnsi" w:eastAsia="Times New Roman" w:hAnsiTheme="minorHAnsi"/>
          <w:b/>
          <w:color w:val="333333"/>
          <w:lang w:eastAsia="pl-PL"/>
        </w:rPr>
        <w:t xml:space="preserve"> </w:t>
      </w:r>
      <w:r w:rsidRPr="007D61A6">
        <w:rPr>
          <w:rFonts w:asciiTheme="minorHAnsi" w:eastAsia="Times New Roman" w:hAnsiTheme="minorHAnsi"/>
          <w:b/>
          <w:color w:val="333333"/>
          <w:lang w:eastAsia="pl-PL"/>
        </w:rPr>
        <w:t>konieczność zwrotu środków</w:t>
      </w:r>
      <w:r w:rsidRPr="00667308">
        <w:rPr>
          <w:rFonts w:asciiTheme="minorHAnsi" w:eastAsia="Times New Roman" w:hAnsiTheme="minorHAnsi"/>
          <w:color w:val="333333"/>
          <w:lang w:eastAsia="pl-PL"/>
        </w:rPr>
        <w:t xml:space="preserve"> otrzymanych na realizację projektu wraz z odsetkami liczonymi jak dla zaległości podatkowych, </w:t>
      </w:r>
      <w:r>
        <w:rPr>
          <w:rFonts w:asciiTheme="minorHAnsi" w:eastAsia="Times New Roman" w:hAnsiTheme="minorHAnsi"/>
          <w:color w:val="333333"/>
          <w:lang w:eastAsia="pl-PL"/>
        </w:rPr>
        <w:t>p</w:t>
      </w:r>
      <w:r w:rsidRPr="00667308">
        <w:rPr>
          <w:rFonts w:asciiTheme="minorHAnsi" w:eastAsia="Times New Roman" w:hAnsiTheme="minorHAnsi"/>
          <w:color w:val="333333"/>
          <w:lang w:eastAsia="pl-PL"/>
        </w:rPr>
        <w:t>roporcjonalnie do okresu niezachowania obowiązku trwałości.</w:t>
      </w:r>
      <w:r w:rsidRPr="00667308">
        <w:rPr>
          <w:rFonts w:asciiTheme="minorHAnsi" w:eastAsia="Times New Roman" w:hAnsiTheme="minorHAnsi"/>
          <w:color w:val="333333"/>
          <w:lang w:eastAsia="pl-PL"/>
        </w:rPr>
        <w:br/>
      </w:r>
    </w:p>
    <w:p w:rsidR="007D61A6" w:rsidRPr="0048333D" w:rsidRDefault="007D61A6" w:rsidP="007D61A6">
      <w:pPr>
        <w:pStyle w:val="NormalnyWeb"/>
        <w:shd w:val="clear" w:color="auto" w:fill="FFFFFF"/>
        <w:spacing w:after="0" w:line="276" w:lineRule="auto"/>
        <w:rPr>
          <w:rFonts w:asciiTheme="minorHAnsi" w:eastAsia="Times New Roman" w:hAnsiTheme="minorHAnsi"/>
          <w:color w:val="333333"/>
          <w:lang w:eastAsia="pl-PL"/>
        </w:rPr>
      </w:pPr>
      <w:r>
        <w:rPr>
          <w:rFonts w:asciiTheme="minorHAnsi" w:eastAsia="Times New Roman" w:hAnsiTheme="minorHAnsi"/>
          <w:b/>
          <w:color w:val="333333"/>
          <w:lang w:eastAsia="pl-PL"/>
        </w:rPr>
        <w:t>Z</w:t>
      </w:r>
      <w:r w:rsidRPr="003C3C8A">
        <w:rPr>
          <w:rFonts w:asciiTheme="minorHAnsi" w:eastAsia="Times New Roman" w:hAnsiTheme="minorHAnsi"/>
          <w:b/>
          <w:color w:val="333333"/>
          <w:lang w:eastAsia="pl-PL"/>
        </w:rPr>
        <w:t>asad</w:t>
      </w:r>
      <w:r>
        <w:rPr>
          <w:rFonts w:asciiTheme="minorHAnsi" w:eastAsia="Times New Roman" w:hAnsiTheme="minorHAnsi"/>
          <w:b/>
          <w:color w:val="333333"/>
          <w:lang w:eastAsia="pl-PL"/>
        </w:rPr>
        <w:t>a</w:t>
      </w:r>
      <w:r w:rsidRPr="003C3C8A">
        <w:rPr>
          <w:rFonts w:asciiTheme="minorHAnsi" w:eastAsia="Times New Roman" w:hAnsiTheme="minorHAnsi"/>
          <w:b/>
          <w:color w:val="333333"/>
          <w:lang w:eastAsia="pl-PL"/>
        </w:rPr>
        <w:t xml:space="preserve"> trwałości </w:t>
      </w:r>
      <w:r>
        <w:rPr>
          <w:rFonts w:asciiTheme="minorHAnsi" w:eastAsia="Times New Roman" w:hAnsiTheme="minorHAnsi"/>
          <w:b/>
          <w:color w:val="333333"/>
          <w:lang w:eastAsia="pl-PL"/>
        </w:rPr>
        <w:t>zostanie naruszona</w:t>
      </w:r>
      <w:r w:rsidRPr="003C3C8A">
        <w:rPr>
          <w:rFonts w:asciiTheme="minorHAnsi" w:eastAsia="Times New Roman" w:hAnsiTheme="minorHAnsi"/>
          <w:b/>
          <w:color w:val="333333"/>
          <w:lang w:eastAsia="pl-PL"/>
        </w:rPr>
        <w:t>, gdy w okresie jej obowiązywania wystąpi co najmniej jedna z</w:t>
      </w:r>
      <w:r>
        <w:rPr>
          <w:rFonts w:asciiTheme="minorHAnsi" w:eastAsia="Times New Roman" w:hAnsiTheme="minorHAnsi"/>
          <w:b/>
          <w:color w:val="333333"/>
          <w:lang w:eastAsia="pl-PL"/>
        </w:rPr>
        <w:t xml:space="preserve"> poniższych</w:t>
      </w:r>
      <w:r w:rsidRPr="003C3C8A">
        <w:rPr>
          <w:rFonts w:asciiTheme="minorHAnsi" w:eastAsia="Times New Roman" w:hAnsiTheme="minorHAnsi"/>
          <w:b/>
          <w:color w:val="333333"/>
          <w:lang w:eastAsia="pl-PL"/>
        </w:rPr>
        <w:t xml:space="preserve"> przesłanek</w:t>
      </w:r>
      <w:r w:rsidRPr="0048333D">
        <w:rPr>
          <w:rFonts w:asciiTheme="minorHAnsi" w:eastAsia="Times New Roman" w:hAnsiTheme="minorHAnsi"/>
          <w:color w:val="333333"/>
          <w:lang w:eastAsia="pl-PL"/>
        </w:rPr>
        <w:t>:</w:t>
      </w:r>
    </w:p>
    <w:p w:rsidR="007D61A6" w:rsidRPr="00DB6312" w:rsidRDefault="007D61A6" w:rsidP="007D61A6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color w:val="333333"/>
          <w:sz w:val="24"/>
          <w:szCs w:val="24"/>
          <w:lang w:eastAsia="pl-PL"/>
        </w:rPr>
        <w:t>B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eneficjent </w:t>
      </w:r>
      <w:r w:rsidRPr="00DB6312">
        <w:rPr>
          <w:rFonts w:eastAsia="Times New Roman" w:cs="Times New Roman"/>
          <w:color w:val="333333"/>
          <w:sz w:val="24"/>
          <w:szCs w:val="24"/>
          <w:lang w:eastAsia="pl-PL"/>
        </w:rPr>
        <w:t>zaprzestanie działalności produkcyjnej lub przeniesie ją poza obszar wsparcia programu,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co w przypadku RPO WD na lata 2014-2020 oznacza lokalizację poza obszarem województwa dolnośląskiego;</w:t>
      </w:r>
    </w:p>
    <w:p w:rsidR="007D61A6" w:rsidRPr="00DB6312" w:rsidRDefault="007D61A6" w:rsidP="007D61A6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DB6312">
        <w:rPr>
          <w:rFonts w:eastAsia="Times New Roman" w:cs="Times New Roman"/>
          <w:color w:val="333333"/>
          <w:sz w:val="24"/>
          <w:szCs w:val="24"/>
          <w:lang w:eastAsia="pl-PL"/>
        </w:rPr>
        <w:t xml:space="preserve">nastąpi zmiana własności elementu współfinansowanej infrastruktury, która daje przedsiębiorstwu lub podmiotowi 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>publicznemu nienależne korzyści;</w:t>
      </w:r>
    </w:p>
    <w:p w:rsidR="007D61A6" w:rsidRPr="00DB6312" w:rsidRDefault="007D61A6" w:rsidP="007D61A6">
      <w:pPr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DB6312">
        <w:rPr>
          <w:rFonts w:eastAsia="Times New Roman" w:cs="Times New Roman"/>
          <w:color w:val="333333"/>
          <w:sz w:val="24"/>
          <w:szCs w:val="24"/>
          <w:lang w:eastAsia="pl-PL"/>
        </w:rPr>
        <w:t>nastąpi istotna zmiana wpływająca na charakter projektu, jego cele lub warunki realizacji, która mogłaby doprowadzić do naruszenia jego pierwotnych założeń.</w:t>
      </w:r>
    </w:p>
    <w:p w:rsidR="007D61A6" w:rsidRPr="003C3C8A" w:rsidRDefault="007D61A6" w:rsidP="007D61A6">
      <w:pPr>
        <w:shd w:val="clear" w:color="auto" w:fill="FFFFFF"/>
        <w:spacing w:after="0" w:line="276" w:lineRule="auto"/>
        <w:rPr>
          <w:rFonts w:eastAsia="Times New Roman" w:cs="Times New Roman"/>
          <w:b/>
          <w:color w:val="333333"/>
          <w:sz w:val="24"/>
          <w:szCs w:val="24"/>
          <w:lang w:eastAsia="pl-PL"/>
        </w:rPr>
      </w:pPr>
      <w:r w:rsidRPr="003C3C8A">
        <w:rPr>
          <w:rFonts w:eastAsia="Times New Roman" w:cs="Times New Roman"/>
          <w:b/>
          <w:color w:val="333333"/>
          <w:sz w:val="24"/>
          <w:szCs w:val="24"/>
          <w:lang w:eastAsia="pl-PL"/>
        </w:rPr>
        <w:lastRenderedPageBreak/>
        <w:t>Sprawozdawczość</w:t>
      </w:r>
    </w:p>
    <w:p w:rsidR="007D61A6" w:rsidRPr="007D61A6" w:rsidRDefault="007D61A6" w:rsidP="007D61A6">
      <w:pPr>
        <w:spacing w:after="0" w:line="276" w:lineRule="auto"/>
        <w:rPr>
          <w:rFonts w:eastAsia="Times New Roman" w:cs="Times New Roman"/>
          <w:bCs/>
          <w:color w:val="333333"/>
          <w:sz w:val="24"/>
          <w:szCs w:val="24"/>
          <w:lang w:eastAsia="pl-PL"/>
        </w:rPr>
      </w:pPr>
      <w:r w:rsidRPr="0048333D">
        <w:rPr>
          <w:sz w:val="24"/>
          <w:szCs w:val="24"/>
        </w:rPr>
        <w:t>Beneficjent po okresie realizacji Projektu jest zobowiązany do okresowego przedkładania do Instytucji Pośredniczącej dokumentów potwierdzających zachowanie trwałości rezultatów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. </w:t>
      </w: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 xml:space="preserve">Na ich podstawie określane będzie, czy została zachowana trwałość projektu. </w:t>
      </w:r>
      <w:r>
        <w:rPr>
          <w:rFonts w:eastAsia="Times New Roman" w:cs="Times New Roman"/>
          <w:color w:val="333333"/>
          <w:sz w:val="24"/>
          <w:szCs w:val="24"/>
          <w:lang w:eastAsia="pl-PL"/>
        </w:rPr>
        <w:br/>
      </w:r>
      <w:r>
        <w:rPr>
          <w:rFonts w:eastAsia="Times New Roman" w:cs="Times New Roman"/>
          <w:color w:val="333333"/>
          <w:sz w:val="24"/>
          <w:szCs w:val="24"/>
          <w:lang w:eastAsia="pl-PL"/>
        </w:rPr>
        <w:br/>
      </w: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>W okresie trwałości uprawnione instytucje mogą przeprowadzać kontrole, aby upewnić się, że trwałość ta została zapewniona.</w:t>
      </w: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br/>
      </w:r>
      <w:r>
        <w:rPr>
          <w:rFonts w:eastAsia="Times New Roman" w:cs="Times New Roman"/>
          <w:bCs/>
          <w:color w:val="333333"/>
          <w:sz w:val="24"/>
          <w:szCs w:val="24"/>
          <w:lang w:eastAsia="pl-PL"/>
        </w:rPr>
        <w:br/>
      </w:r>
      <w:r w:rsidRPr="0048333D">
        <w:rPr>
          <w:rFonts w:eastAsia="Times New Roman" w:cs="Times New Roman"/>
          <w:bCs/>
          <w:color w:val="333333"/>
          <w:sz w:val="24"/>
          <w:szCs w:val="24"/>
          <w:lang w:eastAsia="pl-PL"/>
        </w:rPr>
        <w:t xml:space="preserve">Ponadto gotowość do świadczenia usług w ramach utworzonych miejsc opieki będzie monitorowana poprzez składane corocznie sprawozdania. Sprawozdanie sporządzane będzie na wzorze przygotowanym przez IP i przesyłane przez moduł korespondencji w SL2014. </w:t>
      </w:r>
      <w:r>
        <w:rPr>
          <w:rFonts w:eastAsia="Times New Roman" w:cs="Times New Roman"/>
          <w:bCs/>
          <w:color w:val="333333"/>
          <w:sz w:val="24"/>
          <w:szCs w:val="24"/>
          <w:lang w:eastAsia="pl-PL"/>
        </w:rPr>
        <w:br/>
      </w:r>
    </w:p>
    <w:p w:rsidR="007D61A6" w:rsidRPr="00667308" w:rsidRDefault="007D61A6" w:rsidP="007D61A6">
      <w:pPr>
        <w:shd w:val="clear" w:color="auto" w:fill="FFFFFF"/>
        <w:spacing w:after="0" w:line="276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Beneficjent powinien niezwłocznie </w:t>
      </w: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>informować instytuc</w:t>
      </w:r>
      <w:r w:rsidRPr="0048333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ję, która udzieliła wsparcia o wszelkich okolicznościach mogących powodować naruszenie trwałości projektu, w </w:t>
      </w:r>
      <w:r>
        <w:rPr>
          <w:rFonts w:eastAsia="Times New Roman" w:cs="Times New Roman"/>
          <w:color w:val="333333"/>
          <w:sz w:val="24"/>
          <w:szCs w:val="24"/>
          <w:lang w:eastAsia="pl-PL"/>
        </w:rPr>
        <w:t>szczególności o:</w:t>
      </w:r>
    </w:p>
    <w:p w:rsidR="007D61A6" w:rsidRPr="00667308" w:rsidRDefault="007D61A6" w:rsidP="007D61A6">
      <w:pPr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>każdej zmianie w przedsiębiorstwie/instytucji mającej wpływ na osiągnięcie lub utrzymanie zadeklarowanych wskaźników rezultatu w projekcie,</w:t>
      </w:r>
    </w:p>
    <w:p w:rsidR="007D61A6" w:rsidRPr="00667308" w:rsidRDefault="007D61A6" w:rsidP="007D61A6">
      <w:pPr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>możliwości odzyskania podatku VAT, w przypadku, gdy był wydatkiem kwalifikowalnym w projekcie,</w:t>
      </w:r>
    </w:p>
    <w:p w:rsidR="007D61A6" w:rsidRPr="00667308" w:rsidRDefault="007D61A6" w:rsidP="007D61A6">
      <w:pPr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>zmianach powodujących uzyskanie nieuzasadnionej korzyści,</w:t>
      </w:r>
    </w:p>
    <w:p w:rsidR="007D61A6" w:rsidRPr="0048333D" w:rsidRDefault="007D61A6" w:rsidP="007D61A6">
      <w:pPr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667308">
        <w:rPr>
          <w:rFonts w:eastAsia="Times New Roman" w:cs="Times New Roman"/>
          <w:color w:val="333333"/>
          <w:sz w:val="24"/>
          <w:szCs w:val="24"/>
          <w:lang w:eastAsia="pl-PL"/>
        </w:rPr>
        <w:t>zmianie charakteru lub własności projektu albo zaprzestaniu działalności.</w:t>
      </w:r>
    </w:p>
    <w:p w:rsidR="007D61A6" w:rsidRPr="0048333D" w:rsidRDefault="007D61A6" w:rsidP="007D61A6">
      <w:pPr>
        <w:spacing w:after="0" w:line="276" w:lineRule="auto"/>
        <w:rPr>
          <w:sz w:val="24"/>
          <w:szCs w:val="24"/>
        </w:rPr>
      </w:pPr>
    </w:p>
    <w:p w:rsidR="007D61A6" w:rsidRPr="007D61A6" w:rsidRDefault="007D61A6" w:rsidP="007D61A6">
      <w:pPr>
        <w:shd w:val="clear" w:color="auto" w:fill="FFFFFF"/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7D61A6">
        <w:rPr>
          <w:rFonts w:eastAsia="Times New Roman" w:cs="Arial"/>
          <w:b/>
          <w:color w:val="000000"/>
          <w:sz w:val="24"/>
          <w:szCs w:val="24"/>
          <w:lang w:eastAsia="pl-PL"/>
        </w:rPr>
        <w:t>Po zakończeniu projektu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, </w:t>
      </w:r>
      <w:r w:rsidRPr="007D61A6">
        <w:rPr>
          <w:rFonts w:eastAsia="Times New Roman" w:cs="Arial"/>
          <w:color w:val="000000"/>
          <w:sz w:val="24"/>
          <w:szCs w:val="24"/>
          <w:lang w:eastAsia="pl-PL"/>
        </w:rPr>
        <w:t>przez okres wskazany w umowie dotacji</w:t>
      </w:r>
      <w:r w:rsidRPr="007D61A6">
        <w:rPr>
          <w:rFonts w:eastAsia="Times New Roman" w:cs="Arial"/>
          <w:color w:val="000000"/>
          <w:sz w:val="24"/>
          <w:szCs w:val="24"/>
          <w:lang w:eastAsia="pl-PL"/>
        </w:rPr>
        <w:t>,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7D61A6">
        <w:rPr>
          <w:rFonts w:eastAsia="Times New Roman" w:cs="Arial"/>
          <w:color w:val="000000"/>
          <w:sz w:val="24"/>
          <w:szCs w:val="24"/>
          <w:lang w:eastAsia="pl-PL"/>
        </w:rPr>
        <w:t>Beneficjent jest zobowiązany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do</w:t>
      </w:r>
      <w:r w:rsidRPr="007D61A6">
        <w:rPr>
          <w:rFonts w:eastAsia="Times New Roman" w:cs="Arial"/>
          <w:color w:val="000000"/>
          <w:sz w:val="24"/>
          <w:szCs w:val="24"/>
          <w:lang w:eastAsia="pl-PL"/>
        </w:rPr>
        <w:t>:</w:t>
      </w:r>
    </w:p>
    <w:p w:rsidR="007D61A6" w:rsidRDefault="007D61A6" w:rsidP="007D61A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lang w:eastAsia="pl-PL"/>
        </w:rPr>
      </w:pPr>
      <w:r w:rsidRPr="003C3C8A">
        <w:rPr>
          <w:lang w:eastAsia="pl-PL"/>
        </w:rPr>
        <w:t>przechowywania pełnej dokumentacji</w:t>
      </w:r>
      <w:r>
        <w:rPr>
          <w:lang w:eastAsia="pl-PL"/>
        </w:rPr>
        <w:t xml:space="preserve"> projektu - m</w:t>
      </w:r>
      <w:r w:rsidRPr="003C3C8A">
        <w:rPr>
          <w:lang w:eastAsia="pl-PL"/>
        </w:rPr>
        <w:t>iejscem archiwizacji dokumentacji powinna być siedziba Beneficjenta</w:t>
      </w:r>
      <w:r>
        <w:rPr>
          <w:lang w:eastAsia="pl-PL"/>
        </w:rPr>
        <w:t>;</w:t>
      </w:r>
    </w:p>
    <w:p w:rsidR="007D61A6" w:rsidRPr="003C3C8A" w:rsidRDefault="007D61A6" w:rsidP="007D61A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lang w:eastAsia="pl-PL"/>
        </w:rPr>
      </w:pPr>
      <w:r>
        <w:rPr>
          <w:lang w:eastAsia="pl-PL"/>
        </w:rPr>
        <w:t>zapewnienia</w:t>
      </w:r>
      <w:r w:rsidRPr="003C3C8A">
        <w:rPr>
          <w:lang w:eastAsia="pl-PL"/>
        </w:rPr>
        <w:t xml:space="preserve"> wgląd w dokumentację przedstawicielom instytuc</w:t>
      </w:r>
      <w:r>
        <w:rPr>
          <w:lang w:eastAsia="pl-PL"/>
        </w:rPr>
        <w:t>ji, która udzieliła  wsparcia, instytucji z</w:t>
      </w:r>
      <w:r w:rsidRPr="003C3C8A">
        <w:rPr>
          <w:lang w:eastAsia="pl-PL"/>
        </w:rPr>
        <w:t>arządzającej programem, z którego ono pochodziło, innym organom kontroli, a także przedstawicielom Unii Europejskiej – jeżeli zajdzie taka potrzeba.</w:t>
      </w:r>
    </w:p>
    <w:p w:rsidR="007D61A6" w:rsidRPr="0048333D" w:rsidRDefault="007D61A6" w:rsidP="007D61A6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1B1B1B"/>
          <w:sz w:val="24"/>
          <w:szCs w:val="24"/>
          <w:u w:val="single"/>
          <w:lang w:eastAsia="pl-PL"/>
        </w:rPr>
      </w:pPr>
    </w:p>
    <w:p w:rsidR="007D61A6" w:rsidRPr="0048333D" w:rsidRDefault="007D61A6" w:rsidP="007D61A6">
      <w:p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1B1B1B"/>
          <w:sz w:val="24"/>
          <w:szCs w:val="24"/>
          <w:u w:val="single"/>
          <w:lang w:eastAsia="pl-PL"/>
        </w:rPr>
      </w:pPr>
    </w:p>
    <w:p w:rsidR="007D61A6" w:rsidRPr="0048333D" w:rsidRDefault="007D61A6" w:rsidP="007D61A6">
      <w:pPr>
        <w:shd w:val="clear" w:color="auto" w:fill="FFFFFF"/>
        <w:spacing w:after="0" w:line="276" w:lineRule="auto"/>
        <w:textAlignment w:val="baseline"/>
        <w:outlineLvl w:val="2"/>
        <w:rPr>
          <w:rFonts w:eastAsia="Times New Roman" w:cs="Arial"/>
          <w:b/>
          <w:bCs/>
          <w:color w:val="1B1B1B"/>
          <w:sz w:val="24"/>
          <w:szCs w:val="24"/>
          <w:lang w:eastAsia="pl-PL"/>
        </w:rPr>
      </w:pPr>
      <w:r w:rsidRPr="0048333D">
        <w:rPr>
          <w:rFonts w:eastAsia="Times New Roman" w:cs="Arial"/>
          <w:b/>
          <w:bCs/>
          <w:color w:val="1B1B1B"/>
          <w:sz w:val="24"/>
          <w:szCs w:val="24"/>
          <w:lang w:eastAsia="pl-PL"/>
        </w:rPr>
        <w:t>Podstawa prawna</w:t>
      </w:r>
    </w:p>
    <w:p w:rsidR="007D61A6" w:rsidRPr="007D61A6" w:rsidRDefault="007D61A6" w:rsidP="007D61A6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eastAsia="Times New Roman" w:cs="Arial"/>
          <w:color w:val="1B1B1B"/>
          <w:sz w:val="24"/>
          <w:szCs w:val="24"/>
          <w:lang w:eastAsia="pl-PL"/>
        </w:rPr>
      </w:pPr>
      <w:r w:rsidRPr="007D61A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art. 71 </w:t>
      </w:r>
      <w:r w:rsidRPr="007D61A6">
        <w:rPr>
          <w:rFonts w:eastAsia="Times New Roman" w:cs="Arial"/>
          <w:color w:val="1B1B1B"/>
          <w:sz w:val="24"/>
          <w:szCs w:val="24"/>
          <w:lang w:eastAsia="pl-PL"/>
        </w:rPr>
        <w:t>Rozporządzenia Parlamentu Europejskiego i Rady (UE) NR 1303/2013 z dnia 17 grudnia 2013 r.</w:t>
      </w:r>
    </w:p>
    <w:p w:rsidR="007D61A6" w:rsidRDefault="007D61A6" w:rsidP="007D61A6">
      <w:pPr>
        <w:spacing w:after="0" w:line="276" w:lineRule="auto"/>
      </w:pPr>
    </w:p>
    <w:sectPr w:rsidR="007D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B26"/>
    <w:multiLevelType w:val="multilevel"/>
    <w:tmpl w:val="821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F076A"/>
    <w:multiLevelType w:val="hybridMultilevel"/>
    <w:tmpl w:val="2D6E3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0D85"/>
    <w:multiLevelType w:val="hybridMultilevel"/>
    <w:tmpl w:val="9D2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84C87"/>
    <w:multiLevelType w:val="multilevel"/>
    <w:tmpl w:val="1A8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83ABA"/>
    <w:multiLevelType w:val="hybridMultilevel"/>
    <w:tmpl w:val="63FE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A6"/>
    <w:rsid w:val="00673C91"/>
    <w:rsid w:val="007D61A6"/>
    <w:rsid w:val="00CC0656"/>
    <w:rsid w:val="00DD1ABC"/>
    <w:rsid w:val="00D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DCD8D-4C66-4DC9-9BE8-C82C7AB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61A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Ratajczak</dc:creator>
  <cp:keywords/>
  <dc:description/>
  <cp:lastModifiedBy>Zbigniew Ratajczak</cp:lastModifiedBy>
  <cp:revision>2</cp:revision>
  <dcterms:created xsi:type="dcterms:W3CDTF">2020-01-16T11:59:00Z</dcterms:created>
  <dcterms:modified xsi:type="dcterms:W3CDTF">2020-01-16T11:59:00Z</dcterms:modified>
</cp:coreProperties>
</file>