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0B461C">
      <w:pPr>
        <w:spacing w:after="50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505EED">
      <w:pPr>
        <w:spacing w:after="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505EED" w:rsidRDefault="00EF545D" w:rsidP="000B461C">
      <w:pPr>
        <w:spacing w:after="200" w:line="360" w:lineRule="auto"/>
        <w:rPr>
          <w:rFonts w:ascii="Arial" w:eastAsia="Calibri" w:hAnsi="Arial" w:cs="Arial"/>
          <w:sz w:val="28"/>
          <w:szCs w:val="36"/>
        </w:rPr>
      </w:pPr>
    </w:p>
    <w:p w14:paraId="49966074" w14:textId="2E99472F" w:rsidR="00EF545D" w:rsidRPr="00A772F8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772F8">
        <w:rPr>
          <w:rFonts w:ascii="Calibri" w:eastAsia="Calibri" w:hAnsi="Calibri" w:cs="Arial"/>
          <w:b/>
          <w:sz w:val="28"/>
          <w:szCs w:val="28"/>
        </w:rPr>
        <w:t xml:space="preserve">Oś priorytetowa </w:t>
      </w:r>
      <w:r w:rsidR="00791F39" w:rsidRPr="00791F39">
        <w:rPr>
          <w:rFonts w:ascii="Calibri" w:eastAsia="Calibri" w:hAnsi="Calibri" w:cs="Arial"/>
          <w:b/>
          <w:sz w:val="28"/>
          <w:szCs w:val="28"/>
        </w:rPr>
        <w:t>8 Rynek pracy</w:t>
      </w:r>
      <w:r w:rsidR="00791F39" w:rsidRPr="00791F39" w:rsidDel="00791F39">
        <w:rPr>
          <w:rFonts w:ascii="Calibri" w:eastAsia="Calibri" w:hAnsi="Calibri" w:cs="Arial"/>
          <w:b/>
          <w:sz w:val="28"/>
          <w:szCs w:val="28"/>
        </w:rPr>
        <w:t xml:space="preserve"> </w:t>
      </w:r>
    </w:p>
    <w:p w14:paraId="28FF20C7" w14:textId="21058270" w:rsidR="00EF545D" w:rsidRPr="00A772F8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772F8"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A772F8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791F39" w:rsidRPr="00791F39">
        <w:rPr>
          <w:rFonts w:ascii="Calibri" w:eastAsia="Calibri" w:hAnsi="Calibri" w:cs="Arial"/>
          <w:b/>
          <w:sz w:val="28"/>
          <w:szCs w:val="28"/>
        </w:rPr>
        <w:t>8.5 Przystosowanie do zmian zachodzących w gospodarce w ramach działań outplacementowych</w:t>
      </w:r>
    </w:p>
    <w:p w14:paraId="5E993594" w14:textId="6B69D3D5" w:rsidR="00EF545D" w:rsidRPr="00A772F8" w:rsidRDefault="006C5DB5" w:rsidP="006C5DB5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(typ projektów </w:t>
      </w:r>
      <w:r w:rsidR="00791F39" w:rsidRPr="00791F39">
        <w:rPr>
          <w:rFonts w:ascii="Calibri" w:eastAsia="Calibri" w:hAnsi="Calibri" w:cs="Arial"/>
          <w:b/>
          <w:sz w:val="28"/>
          <w:szCs w:val="28"/>
        </w:rPr>
        <w:t>8.5.A.</w:t>
      </w:r>
      <w:r w:rsidR="00EE48EB" w:rsidRPr="00A772F8">
        <w:rPr>
          <w:rFonts w:ascii="Calibri" w:eastAsia="Calibri" w:hAnsi="Calibri" w:cs="Arial"/>
          <w:b/>
          <w:sz w:val="28"/>
          <w:szCs w:val="28"/>
        </w:rPr>
        <w:t>)</w:t>
      </w:r>
    </w:p>
    <w:p w14:paraId="36A94CF4" w14:textId="0FD48AE1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 xml:space="preserve">Nr konkursu: </w:t>
      </w:r>
      <w:r w:rsidR="00791F39" w:rsidRPr="00791F39">
        <w:rPr>
          <w:rFonts w:ascii="Calibri" w:eastAsia="Calibri" w:hAnsi="Calibri" w:cs="Arial"/>
          <w:b/>
          <w:sz w:val="28"/>
          <w:szCs w:val="28"/>
        </w:rPr>
        <w:t>RPDS.08.05.00-IP.02-02-</w:t>
      </w:r>
      <w:r w:rsidR="00BE2375" w:rsidRPr="00BE2375">
        <w:rPr>
          <w:rFonts w:ascii="Calibri" w:eastAsia="Calibri" w:hAnsi="Calibri" w:cs="Arial"/>
          <w:b/>
          <w:sz w:val="28"/>
          <w:szCs w:val="28"/>
        </w:rPr>
        <w:t>376</w:t>
      </w:r>
      <w:r w:rsidR="00791F39" w:rsidRPr="00791F39">
        <w:rPr>
          <w:rFonts w:ascii="Calibri" w:eastAsia="Calibri" w:hAnsi="Calibri" w:cs="Arial"/>
          <w:b/>
          <w:sz w:val="28"/>
          <w:szCs w:val="28"/>
        </w:rPr>
        <w:t>/19</w:t>
      </w:r>
    </w:p>
    <w:p w14:paraId="69F1FB3B" w14:textId="77777777" w:rsidR="00EF545D" w:rsidRPr="00EF545D" w:rsidRDefault="00EF545D" w:rsidP="000B461C">
      <w:pPr>
        <w:tabs>
          <w:tab w:val="left" w:pos="3572"/>
        </w:tabs>
        <w:spacing w:after="20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505EE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19F609EB" w:rsidR="007748D7" w:rsidRPr="00B35991" w:rsidRDefault="007748D7" w:rsidP="001A7C2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</w:t>
      </w:r>
      <w:r w:rsidR="00D968D2">
        <w:rPr>
          <w:rFonts w:ascii="Calibri" w:eastAsia="Calibri" w:hAnsi="Calibri" w:cs="Arial"/>
          <w:sz w:val="24"/>
          <w:szCs w:val="24"/>
        </w:rPr>
        <w:t>projektów realizowanych na obszarze województwa dolnośląskiego</w:t>
      </w:r>
      <w:r w:rsidR="0046428E">
        <w:rPr>
          <w:rFonts w:ascii="Calibri" w:eastAsia="Calibri" w:hAnsi="Calibri" w:cs="Arial"/>
          <w:sz w:val="24"/>
          <w:szCs w:val="24"/>
        </w:rPr>
        <w:t>,</w:t>
      </w:r>
      <w:r w:rsidR="00D968D2">
        <w:rPr>
          <w:rFonts w:ascii="Calibri" w:eastAsia="Calibri" w:hAnsi="Calibri" w:cs="Arial"/>
          <w:sz w:val="24"/>
          <w:szCs w:val="24"/>
        </w:rPr>
        <w:t xml:space="preserve"> </w:t>
      </w:r>
      <w:r w:rsidRPr="00B35991">
        <w:rPr>
          <w:rFonts w:ascii="Calibri" w:eastAsia="Calibri" w:hAnsi="Calibri" w:cs="Arial"/>
          <w:sz w:val="24"/>
          <w:szCs w:val="24"/>
        </w:rPr>
        <w:t>przeznaczony dla wszystkich Beneficjentów przewidzianych do</w:t>
      </w:r>
      <w:r w:rsidR="006C5DB5">
        <w:rPr>
          <w:rFonts w:ascii="Calibri" w:eastAsia="Calibri" w:hAnsi="Calibri" w:cs="Arial"/>
          <w:sz w:val="24"/>
          <w:szCs w:val="24"/>
        </w:rPr>
        <w:t> </w:t>
      </w:r>
      <w:r w:rsidRPr="00B35991">
        <w:rPr>
          <w:rFonts w:ascii="Calibri" w:eastAsia="Calibri" w:hAnsi="Calibri" w:cs="Arial"/>
          <w:sz w:val="24"/>
          <w:szCs w:val="24"/>
        </w:rPr>
        <w:t xml:space="preserve">aplikowania w Działaniu </w:t>
      </w:r>
      <w:r w:rsidR="00791F39">
        <w:rPr>
          <w:rFonts w:ascii="Calibri" w:eastAsia="Calibri" w:hAnsi="Calibri" w:cs="Arial"/>
          <w:sz w:val="24"/>
          <w:szCs w:val="24"/>
        </w:rPr>
        <w:t>8.5 A</w:t>
      </w:r>
      <w:r w:rsidRPr="00B35991">
        <w:rPr>
          <w:rFonts w:ascii="Calibri" w:eastAsia="Calibri" w:hAnsi="Calibri" w:cs="Arial"/>
          <w:sz w:val="24"/>
          <w:szCs w:val="24"/>
        </w:rPr>
        <w:t>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AB291D" w:rsidRDefault="00AB291D" w:rsidP="001A7C27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</w:t>
      </w:r>
      <w:r w:rsidR="00247077">
        <w:rPr>
          <w:rFonts w:ascii="Calibri" w:eastAsia="Times New Roman" w:hAnsi="Calibri" w:cs="Arial"/>
          <w:sz w:val="24"/>
          <w:szCs w:val="24"/>
          <w:lang w:eastAsia="pl-PL"/>
        </w:rPr>
        <w:t xml:space="preserve">(IOK) 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6C5DB5">
      <w:pPr>
        <w:tabs>
          <w:tab w:val="left" w:pos="3572"/>
        </w:tabs>
        <w:spacing w:before="12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7288E15F" w14:textId="23C692F8" w:rsidR="00791F39" w:rsidRPr="00791F39" w:rsidRDefault="00B53436" w:rsidP="00791F39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8F55BE" w:rsidRPr="008F5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typ</w:t>
      </w:r>
      <w:r w:rsid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8028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projektów</w:t>
      </w:r>
      <w:r w:rsidR="00802856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91F39"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8.5.A., tj. </w:t>
      </w:r>
      <w:r w:rsidR="00791F39" w:rsidRPr="00B364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projektów</w:t>
      </w:r>
      <w:r w:rsidR="00791F39" w:rsidRPr="00791F39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791F39"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rzecz wsparcia procesów adaptacyjnych i modernizacyjnych w regionie poprzez wsparcie typu outplacement obejmujące kompleksowy zestaw działań dostosowanych do indywidualnych potrzeb uczestników projektu, w szczególności:</w:t>
      </w:r>
    </w:p>
    <w:p w14:paraId="083AEF01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doradztwo zawodowe połączone z przygotowaniem Indywidualnego Planu Działania jako obowiązkowy element wsparcia;</w:t>
      </w:r>
    </w:p>
    <w:p w14:paraId="57EFA5A5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poradnictwo psychologiczne;</w:t>
      </w:r>
    </w:p>
    <w:p w14:paraId="1FB29232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pośrednictwo pracy;</w:t>
      </w:r>
    </w:p>
    <w:p w14:paraId="209F472E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szkolenia, kursy, studia podyplomowe; </w:t>
      </w:r>
    </w:p>
    <w:p w14:paraId="197A8056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staże;</w:t>
      </w:r>
    </w:p>
    <w:p w14:paraId="0B9A27CE" w14:textId="765FDF20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subsydiowanie zatrudnienia;</w:t>
      </w:r>
    </w:p>
    <w:p w14:paraId="33F5C508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sfinansowanie kosztów dojazdu lub dodatek relokacyjny;</w:t>
      </w:r>
    </w:p>
    <w:p w14:paraId="76948A69" w14:textId="77777777" w:rsidR="00791F39" w:rsidRPr="00791F39" w:rsidRDefault="00791F39" w:rsidP="00791F39">
      <w:pPr>
        <w:numPr>
          <w:ilvl w:val="0"/>
          <w:numId w:val="25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finansowe na rozpoczęcie własnej działalności gospodarczej, w formie bezzwrotnej, które może być uzupełnione o wsparcie pomostowe w postaci pomocy finansowej.</w:t>
      </w:r>
    </w:p>
    <w:p w14:paraId="3B8EDB6D" w14:textId="77777777" w:rsidR="00791F39" w:rsidRDefault="00791F39" w:rsidP="00F530B0">
      <w:pPr>
        <w:spacing w:before="200"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91F3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 wsparcia w ramach działania wyłączone jest finansowanie seminariów i konferencji.</w:t>
      </w:r>
    </w:p>
    <w:p w14:paraId="647D377D" w14:textId="77777777" w:rsidR="002E18CF" w:rsidRPr="002E18CF" w:rsidRDefault="002E18CF" w:rsidP="00F530B0">
      <w:pPr>
        <w:spacing w:before="200"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E18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rozwojowe dla przedsiębiorstw nie jest udzielane dużym przedsiębiorstwom.</w:t>
      </w:r>
    </w:p>
    <w:p w14:paraId="6E141C7F" w14:textId="5E071D78" w:rsidR="002E18CF" w:rsidRPr="00791F39" w:rsidRDefault="002E18CF" w:rsidP="00F530B0">
      <w:pPr>
        <w:spacing w:before="200"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E18C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postaci subsydiowanego zatrudnienia jest realizowane wyłącznie przez powiatowe urzędy pracy.</w:t>
      </w:r>
    </w:p>
    <w:p w14:paraId="53AC6606" w14:textId="04DFF9D9" w:rsidR="00716D5F" w:rsidRDefault="00716D5F" w:rsidP="00F530B0">
      <w:pPr>
        <w:spacing w:before="200"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konkursu jest kategoria interwencji </w:t>
      </w:r>
      <w:r w:rsidR="00791F3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106</w:t>
      </w:r>
      <w:r w:rsidR="006C5DB5" w:rsidRPr="006C5D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któr</w:t>
      </w:r>
      <w:r w:rsidR="006C5D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a dotyczy </w:t>
      </w:r>
      <w:r w:rsidR="00791F39" w:rsidRPr="00791F39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przystosowywania pracowników, przedsiębiorstw i przedsiębiorców do zmian</w:t>
      </w:r>
      <w:r w:rsidR="008F55BE" w:rsidRPr="008F55B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1077D6CE" w14:textId="2DD08F93" w:rsidR="00040FA9" w:rsidRDefault="00040FA9" w:rsidP="00F530B0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F26EC8">
        <w:rPr>
          <w:rFonts w:ascii="Calibri" w:eastAsia="Times New Roman" w:hAnsi="Calibri" w:cs="Arial"/>
          <w:sz w:val="24"/>
          <w:szCs w:val="24"/>
          <w:lang w:eastAsia="pl-PL"/>
        </w:rPr>
        <w:t>Biorąc pod uwagę kryteria dostępu oraz specyfikę projektów outplacementowych IOK przewiduje, że</w:t>
      </w:r>
      <w:r w:rsidR="002F6873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F26EC8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="002F6873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F26EC8">
        <w:rPr>
          <w:rFonts w:ascii="Calibri" w:eastAsia="Times New Roman" w:hAnsi="Calibri" w:cs="Arial"/>
          <w:sz w:val="24"/>
          <w:szCs w:val="24"/>
          <w:lang w:eastAsia="pl-PL"/>
        </w:rPr>
        <w:t>ramach konkursu dofinansowanie otrzyma tylko jeden projekt, w ramach którego Beneficjent będzie oferował kompleksowe wsparcie na obszarze całego województwa dolnośląskiego.</w:t>
      </w:r>
    </w:p>
    <w:p w14:paraId="21C5AA75" w14:textId="77777777" w:rsidR="00EF545D" w:rsidRPr="00EF545D" w:rsidRDefault="00EF545D" w:rsidP="003C701B">
      <w:pPr>
        <w:tabs>
          <w:tab w:val="left" w:pos="3572"/>
        </w:tabs>
        <w:spacing w:before="30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6FD4751B" w:rsidR="00EF545D" w:rsidRPr="00DD5074" w:rsidRDefault="00E90F0E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05.03.2020 od godz. 00:01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5566D634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668E936E" w:rsidR="00EF545D" w:rsidRPr="00DD5074" w:rsidRDefault="00E90F0E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13.03.2020 do godz. 15:30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256C4EA0" w14:textId="77777777" w:rsidR="00A213DB" w:rsidRDefault="00A213DB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DF30CE8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Planowany termin rozstrzygnięcia konkursu:</w:t>
      </w:r>
    </w:p>
    <w:p w14:paraId="6FFEBCEC" w14:textId="06BAD29C" w:rsidR="00EF545D" w:rsidRPr="002A5E00" w:rsidRDefault="00CC29EA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sierpień </w:t>
      </w:r>
      <w:r w:rsidR="00107CF5">
        <w:rPr>
          <w:rFonts w:ascii="Calibri" w:eastAsia="Times New Roman" w:hAnsi="Calibri" w:cs="Arial"/>
          <w:sz w:val="24"/>
          <w:szCs w:val="24"/>
          <w:lang w:eastAsia="pl-PL"/>
        </w:rPr>
        <w:t>2020</w:t>
      </w:r>
      <w:r w:rsid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1AA28A2B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7C8CF0B0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0A9E1F65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>spółki jawne, partnerskie, komandytowe, akcyjne, z ograniczoną odpowiedzialnością,</w:t>
      </w:r>
    </w:p>
    <w:p w14:paraId="6F2729F3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spółki cywilne prowadzące działalność w oparciu o umowę zawartą na podstawie Kodeksu cywilnego, </w:t>
      </w:r>
    </w:p>
    <w:p w14:paraId="4C813B53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osoby fizyczne prowadzące działalność gospodarczą, </w:t>
      </w:r>
    </w:p>
    <w:p w14:paraId="14CDB64C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jednostki samorządu terytorialnego w tym samorządowe jednostki organizacyjne, </w:t>
      </w:r>
    </w:p>
    <w:p w14:paraId="32D73E9A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spółdzielnie, </w:t>
      </w:r>
    </w:p>
    <w:p w14:paraId="06896E3E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uczelnie, </w:t>
      </w:r>
    </w:p>
    <w:p w14:paraId="61570143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samodzielne publiczne zakłady opieki zdrowotnej, </w:t>
      </w:r>
    </w:p>
    <w:p w14:paraId="61D83EC8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>niepubliczne zakłady opieki zdrowotnej, organizacje pozarządowe,</w:t>
      </w:r>
    </w:p>
    <w:p w14:paraId="3FED5786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związki zawodowe, </w:t>
      </w:r>
    </w:p>
    <w:p w14:paraId="0F43737E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organizacje pracodawców, </w:t>
      </w:r>
    </w:p>
    <w:p w14:paraId="29B26B03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samorząd gospodarczy i zawodowy, </w:t>
      </w:r>
    </w:p>
    <w:p w14:paraId="3CC01B72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wspólnoty mieszkaniowe, </w:t>
      </w:r>
    </w:p>
    <w:p w14:paraId="30E9B796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szkoły, </w:t>
      </w:r>
    </w:p>
    <w:p w14:paraId="1134C0CC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 xml:space="preserve">placówki systemu oświaty, </w:t>
      </w:r>
    </w:p>
    <w:p w14:paraId="2FD51AA4" w14:textId="77777777" w:rsidR="00EC5EE3" w:rsidRPr="000F451B" w:rsidRDefault="00EC5EE3" w:rsidP="000F451B">
      <w:pPr>
        <w:pStyle w:val="Akapitzlist"/>
        <w:numPr>
          <w:ilvl w:val="0"/>
          <w:numId w:val="26"/>
        </w:numPr>
        <w:spacing w:before="60" w:after="60" w:line="360" w:lineRule="auto"/>
        <w:rPr>
          <w:rFonts w:cs="Arial"/>
          <w:sz w:val="24"/>
          <w:szCs w:val="24"/>
        </w:rPr>
      </w:pPr>
      <w:r w:rsidRPr="000F451B">
        <w:rPr>
          <w:rFonts w:cs="Arial"/>
          <w:sz w:val="24"/>
          <w:szCs w:val="24"/>
        </w:rPr>
        <w:t>inne jednostki organizacyjne systemu oświaty.</w:t>
      </w:r>
    </w:p>
    <w:p w14:paraId="43D4D9C7" w14:textId="22062926" w:rsidR="00DD5074" w:rsidRPr="00DD5074" w:rsidRDefault="00DD5074" w:rsidP="001650B1">
      <w:pPr>
        <w:tabs>
          <w:tab w:val="left" w:pos="851"/>
        </w:tabs>
        <w:spacing w:before="200" w:after="0" w:line="360" w:lineRule="auto"/>
        <w:rPr>
          <w:rFonts w:ascii="Calibri" w:eastAsia="Calibri" w:hAnsi="Calibri" w:cs="Calibri"/>
          <w:sz w:val="24"/>
          <w:szCs w:val="24"/>
        </w:rPr>
      </w:pPr>
      <w:r w:rsidRPr="0019081E">
        <w:rPr>
          <w:rFonts w:ascii="Calibri" w:eastAsia="Calibri" w:hAnsi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DD5074">
        <w:rPr>
          <w:rFonts w:ascii="Calibri" w:eastAsia="Calibri" w:hAnsi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EF545D" w:rsidRDefault="00EF545D" w:rsidP="00A067BF">
      <w:pPr>
        <w:tabs>
          <w:tab w:val="left" w:pos="3572"/>
        </w:tabs>
        <w:spacing w:before="4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1AEC6DF5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2A40C5" w:rsidRPr="002A40C5">
        <w:rPr>
          <w:rFonts w:ascii="Calibri" w:eastAsia="Times New Roman" w:hAnsi="Calibri" w:cs="Arial"/>
          <w:b/>
          <w:sz w:val="24"/>
          <w:szCs w:val="24"/>
          <w:lang w:eastAsia="pl-PL"/>
        </w:rPr>
        <w:t>2 500 000</w:t>
      </w:r>
      <w:r w:rsidR="005D76DD" w:rsidRPr="005D76DD" w:rsidDel="005D76D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69091D">
        <w:rPr>
          <w:rFonts w:ascii="Calibri" w:eastAsia="Times New Roman" w:hAnsi="Calibri" w:cs="Arial"/>
          <w:b/>
          <w:sz w:val="24"/>
          <w:szCs w:val="24"/>
          <w:lang w:eastAsia="pl-PL"/>
        </w:rPr>
        <w:t>EUR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2A40C5">
        <w:rPr>
          <w:rFonts w:ascii="Calibri" w:eastAsia="Times New Roman" w:hAnsi="Calibri" w:cs="Arial"/>
          <w:b/>
          <w:sz w:val="24"/>
          <w:szCs w:val="24"/>
          <w:lang w:eastAsia="pl-PL"/>
        </w:rPr>
        <w:t>10 803 000</w:t>
      </w:r>
      <w:r w:rsidR="00050DC2" w:rsidRP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A66B1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5958C445" w:rsidR="003E11AB" w:rsidRPr="00910A7B" w:rsidRDefault="003E11AB" w:rsidP="00910A7B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2A40C5" w:rsidRPr="002A40C5">
        <w:rPr>
          <w:rFonts w:ascii="Calibri" w:eastAsia="Times New Roman" w:hAnsi="Calibri" w:cs="Calibri"/>
          <w:sz w:val="24"/>
          <w:szCs w:val="24"/>
          <w:lang w:eastAsia="pl-PL"/>
        </w:rPr>
        <w:t>28.11.2019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2A40C5" w:rsidRPr="002A40C5">
        <w:rPr>
          <w:rFonts w:ascii="Calibri" w:eastAsia="Times New Roman" w:hAnsi="Calibri" w:cs="Calibri"/>
          <w:sz w:val="24"/>
          <w:szCs w:val="24"/>
          <w:lang w:eastAsia="pl-PL"/>
        </w:rPr>
        <w:t>4,3212</w:t>
      </w:r>
      <w:r w:rsidR="005D76DD" w:rsidRPr="005D76D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0476B962" w:rsidR="003E11AB" w:rsidRDefault="003E11AB" w:rsidP="00C676C8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</w:t>
      </w:r>
      <w:r w:rsidR="00390978">
        <w:rPr>
          <w:rFonts w:ascii="Calibri" w:eastAsia="Times New Roman" w:hAnsi="Calibri" w:cs="Calibri"/>
          <w:sz w:val="24"/>
          <w:szCs w:val="24"/>
          <w:lang w:eastAsia="pl-PL"/>
        </w:rPr>
        <w:t>IOK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035D3702" w14:textId="40B94DDB" w:rsidR="00EF545D" w:rsidRDefault="00EF545D" w:rsidP="0030237A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  <w:r w:rsidR="0030237A" w:rsidRPr="0030237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87163F">
        <w:rPr>
          <w:rFonts w:ascii="Calibri" w:eastAsia="Times New Roman" w:hAnsi="Calibri" w:cs="Arial"/>
          <w:sz w:val="24"/>
          <w:szCs w:val="24"/>
          <w:lang w:eastAsia="pl-PL"/>
        </w:rPr>
        <w:t>1 000 000 PLN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29FA98F" w14:textId="77777777" w:rsidR="0030237A" w:rsidRDefault="00EF545D" w:rsidP="0030237A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</w:t>
      </w:r>
      <w:r w:rsidR="0030237A">
        <w:rPr>
          <w:rFonts w:ascii="Calibri" w:eastAsia="Times New Roman" w:hAnsi="Calibri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107CF5" w:rsidRDefault="0030237A" w:rsidP="0042605D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30237A"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107CF5" w:rsidRPr="00107CF5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41624D" w:rsidRDefault="0041624D" w:rsidP="0041624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1624D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60A8AD7" w14:textId="3B975648" w:rsidR="006A6F12" w:rsidRPr="006A6F12" w:rsidRDefault="0041624D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24D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poziom dofinansowania całkowitego wydatków kwalifikowalnych na poziomie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projektu (środki UE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 xml:space="preserve"> i budżet państwa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) wynosi 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9</w:t>
      </w:r>
      <w:r>
        <w:rPr>
          <w:rFonts w:ascii="Calibri" w:eastAsia="Times New Roman" w:hAnsi="Calibri" w:cs="Arial"/>
          <w:sz w:val="24"/>
          <w:szCs w:val="24"/>
          <w:lang w:eastAsia="pl-PL"/>
        </w:rPr>
        <w:t>5%</w:t>
      </w:r>
      <w:r w:rsidR="0030237A" w:rsidRPr="0030237A">
        <w:rPr>
          <w:rFonts w:ascii="Calibri" w:eastAsia="Times New Roman" w:hAnsi="Calibri" w:cs="Arial"/>
          <w:sz w:val="24"/>
          <w:szCs w:val="24"/>
          <w:lang w:eastAsia="pl-PL"/>
        </w:rPr>
        <w:t xml:space="preserve"> (85% środki europejskie, 10% budżet państwa)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A25AE7" w:rsidRDefault="00A25AE7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834D5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5</w:t>
      </w:r>
      <w:r w:rsidR="00D35E6C" w:rsidRPr="000B461C">
        <w:rPr>
          <w:rFonts w:ascii="Calibri" w:eastAsia="Times New Roman" w:hAnsi="Calibri" w:cs="Calibri"/>
          <w:b/>
          <w:sz w:val="24"/>
          <w:szCs w:val="24"/>
          <w:lang w:eastAsia="pl-PL"/>
        </w:rPr>
        <w:t>%</w:t>
      </w:r>
      <w:r w:rsidR="00D35E6C" w:rsidRP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wydatków kwalifikowalnych projektu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DE3D79" w14:textId="77777777" w:rsidR="00EF545D" w:rsidRPr="00EF545D" w:rsidRDefault="00EF545D" w:rsidP="0030237A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A067BF">
      <w:pPr>
        <w:tabs>
          <w:tab w:val="left" w:pos="3572"/>
        </w:tabs>
        <w:spacing w:before="6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77777777" w:rsidR="00390978" w:rsidRDefault="00A25AE7" w:rsidP="000B461C">
      <w:pPr>
        <w:tabs>
          <w:tab w:val="left" w:pos="3572"/>
        </w:tabs>
        <w:spacing w:before="60" w:after="0" w:line="360" w:lineRule="auto"/>
        <w:rPr>
          <w:rFonts w:ascii="Calibri" w:eastAsia="Times New Roman" w:hAnsi="Calibri" w:cs="Arial"/>
          <w:spacing w:val="-6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SOWA</w:t>
      </w:r>
      <w:r w:rsidR="00DD5074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9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</w:t>
      </w:r>
      <w:r w:rsidR="00232D5A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 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313C3901" w:rsidR="00390978" w:rsidRDefault="00A25AE7" w:rsidP="00A067BF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Wniosek 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należy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złoż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yć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Pr="00A71282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wyłącznie</w:t>
      </w:r>
      <w:r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19081E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formie dokumentu elektronicznego</w:t>
      </w:r>
      <w:r w:rsidR="00232D5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69C3D574" w14:textId="56FFBBA5" w:rsidR="00EF545D" w:rsidRDefault="00232D5A" w:rsidP="00390978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Nabór wniosków</w:t>
      </w:r>
      <w:r w:rsidR="009F671A">
        <w:rPr>
          <w:rFonts w:ascii="Calibri" w:eastAsia="Times New Roman" w:hAnsi="Calibri" w:cs="Arial"/>
          <w:sz w:val="24"/>
          <w:szCs w:val="24"/>
          <w:lang w:eastAsia="pl-PL"/>
        </w:rPr>
        <w:t xml:space="preserve"> za pośrednictwem systemu 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EFS RPDS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rozpocznie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E90F0E">
        <w:rPr>
          <w:rFonts w:ascii="Calibri" w:eastAsia="Times New Roman" w:hAnsi="Calibri" w:cs="Arial"/>
          <w:b/>
          <w:sz w:val="24"/>
          <w:szCs w:val="24"/>
          <w:lang w:eastAsia="pl-PL"/>
        </w:rPr>
        <w:t>05.03.2020</w:t>
      </w:r>
      <w:r w:rsidR="00E90F0E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r. o</w:t>
      </w:r>
      <w:r w:rsidR="00390978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godz. 00:01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i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zakończy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E90F0E">
        <w:rPr>
          <w:rFonts w:ascii="Calibri" w:eastAsia="Times New Roman" w:hAnsi="Calibri" w:cs="Arial"/>
          <w:b/>
          <w:sz w:val="24"/>
          <w:szCs w:val="24"/>
          <w:lang w:eastAsia="pl-PL"/>
        </w:rPr>
        <w:t>13.03.2020</w:t>
      </w:r>
      <w:r w:rsidR="00E90F0E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r. o godz. 15:30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lastRenderedPageBreak/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7DDED37E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Oświadczenia zawarte we wniosku o dofinansowanie projektu są składane pod rygorem odpowiedzialności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1EE0ACF4" w:rsidR="0080532F" w:rsidRPr="00EF545D" w:rsidRDefault="0080532F" w:rsidP="00A067BF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Instrukcja wypełniania wniosku o dofinansowanie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realizacji projektu w ramach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Pomoc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7E9369D3" w:rsidR="00170284" w:rsidRDefault="00170284" w:rsidP="000B461C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</w:t>
      </w:r>
      <w:r w:rsidR="001A7C27">
        <w:rPr>
          <w:rFonts w:ascii="Calibri" w:eastAsia="Times New Roman" w:hAnsi="Calibri" w:cs="Arial"/>
          <w:sz w:val="24"/>
          <w:szCs w:val="24"/>
          <w:lang w:eastAsia="pl-PL"/>
        </w:rPr>
        <w:t xml:space="preserve">ogłoszonego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naboru 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</w:t>
      </w:r>
      <w:r w:rsidR="009931F7">
        <w:rPr>
          <w:rFonts w:ascii="Calibri" w:eastAsia="Times New Roman" w:hAnsi="Calibri" w:cs="Arial"/>
          <w:sz w:val="24"/>
          <w:szCs w:val="24"/>
          <w:lang w:eastAsia="pl-PL"/>
        </w:rPr>
        <w:t xml:space="preserve">(w wersji elektronicznej)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 stronie internetowej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F671DDF" w14:textId="58B29C08" w:rsidR="006306E3" w:rsidRDefault="006306E3" w:rsidP="00B7465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A1AB137" w14:textId="77777777" w:rsidR="00B74659" w:rsidRPr="00B74659" w:rsidRDefault="00B74659" w:rsidP="00B74659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</w:p>
    <w:p w14:paraId="784FB577" w14:textId="77777777" w:rsidR="00DD09BD" w:rsidRDefault="00DD09BD" w:rsidP="000B461C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sectPr w:rsidR="00DD09BD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24E09" w16cid:durableId="21741474"/>
  <w16cid:commentId w16cid:paraId="089294B6" w16cid:durableId="217413C7"/>
  <w16cid:commentId w16cid:paraId="5E5F2249" w16cid:durableId="217413C8"/>
  <w16cid:commentId w16cid:paraId="3F638595" w16cid:durableId="217413B9"/>
  <w16cid:commentId w16cid:paraId="20104632" w16cid:durableId="21741A65"/>
  <w16cid:commentId w16cid:paraId="19BB6C84" w16cid:durableId="21741B81"/>
  <w16cid:commentId w16cid:paraId="45FE3BA4" w16cid:durableId="2174222E"/>
  <w16cid:commentId w16cid:paraId="0C881634" w16cid:durableId="217413BD"/>
  <w16cid:commentId w16cid:paraId="7A07A988" w16cid:durableId="21741D3E"/>
  <w16cid:commentId w16cid:paraId="037AAEEE" w16cid:durableId="21741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F4D6F" w14:textId="77777777" w:rsidR="00A27EE6" w:rsidRDefault="00A27EE6" w:rsidP="00EF545D">
      <w:pPr>
        <w:spacing w:after="0" w:line="240" w:lineRule="auto"/>
      </w:pPr>
      <w:r>
        <w:separator/>
      </w:r>
    </w:p>
  </w:endnote>
  <w:endnote w:type="continuationSeparator" w:id="0">
    <w:p w14:paraId="01BA41AF" w14:textId="77777777" w:rsidR="00A27EE6" w:rsidRDefault="00A27EE6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91FD7" w14:textId="77777777" w:rsidR="00A27EE6" w:rsidRDefault="00A27EE6" w:rsidP="00EF545D">
      <w:pPr>
        <w:spacing w:after="0" w:line="240" w:lineRule="auto"/>
      </w:pPr>
      <w:r>
        <w:separator/>
      </w:r>
    </w:p>
  </w:footnote>
  <w:footnote w:type="continuationSeparator" w:id="0">
    <w:p w14:paraId="76A486D9" w14:textId="77777777" w:rsidR="00A27EE6" w:rsidRDefault="00A27EE6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6"/>
  </w:num>
  <w:num w:numId="5">
    <w:abstractNumId w:val="17"/>
  </w:num>
  <w:num w:numId="6">
    <w:abstractNumId w:val="3"/>
  </w:num>
  <w:num w:numId="7">
    <w:abstractNumId w:val="4"/>
  </w:num>
  <w:num w:numId="8">
    <w:abstractNumId w:val="25"/>
  </w:num>
  <w:num w:numId="9">
    <w:abstractNumId w:val="8"/>
  </w:num>
  <w:num w:numId="10">
    <w:abstractNumId w:val="14"/>
  </w:num>
  <w:num w:numId="11">
    <w:abstractNumId w:val="24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18"/>
  </w:num>
  <w:num w:numId="17">
    <w:abstractNumId w:val="22"/>
  </w:num>
  <w:num w:numId="18">
    <w:abstractNumId w:val="7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12"/>
  </w:num>
  <w:num w:numId="24">
    <w:abstractNumId w:val="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0FA9"/>
    <w:rsid w:val="000440ED"/>
    <w:rsid w:val="00050DC2"/>
    <w:rsid w:val="0006345D"/>
    <w:rsid w:val="00095CEF"/>
    <w:rsid w:val="000B461C"/>
    <w:rsid w:val="000E133C"/>
    <w:rsid w:val="000F451B"/>
    <w:rsid w:val="000F4926"/>
    <w:rsid w:val="00100D67"/>
    <w:rsid w:val="00107CF5"/>
    <w:rsid w:val="00117104"/>
    <w:rsid w:val="00132FB0"/>
    <w:rsid w:val="00155EAB"/>
    <w:rsid w:val="001650B1"/>
    <w:rsid w:val="00170284"/>
    <w:rsid w:val="0017585D"/>
    <w:rsid w:val="0019081E"/>
    <w:rsid w:val="001A7C27"/>
    <w:rsid w:val="001F3790"/>
    <w:rsid w:val="001F41F1"/>
    <w:rsid w:val="00210431"/>
    <w:rsid w:val="002226C9"/>
    <w:rsid w:val="00226296"/>
    <w:rsid w:val="00227F05"/>
    <w:rsid w:val="00232D5A"/>
    <w:rsid w:val="00247077"/>
    <w:rsid w:val="00256699"/>
    <w:rsid w:val="002615D3"/>
    <w:rsid w:val="002757A4"/>
    <w:rsid w:val="00281446"/>
    <w:rsid w:val="002A2DA0"/>
    <w:rsid w:val="002A40C5"/>
    <w:rsid w:val="002A5E00"/>
    <w:rsid w:val="002E18CF"/>
    <w:rsid w:val="002F6873"/>
    <w:rsid w:val="0030237A"/>
    <w:rsid w:val="00345919"/>
    <w:rsid w:val="00347C98"/>
    <w:rsid w:val="00385B69"/>
    <w:rsid w:val="00390978"/>
    <w:rsid w:val="0039143D"/>
    <w:rsid w:val="003940AC"/>
    <w:rsid w:val="003A76E4"/>
    <w:rsid w:val="003B2362"/>
    <w:rsid w:val="003B5430"/>
    <w:rsid w:val="003C701B"/>
    <w:rsid w:val="003D1B28"/>
    <w:rsid w:val="003D43E6"/>
    <w:rsid w:val="003E11AB"/>
    <w:rsid w:val="00402F59"/>
    <w:rsid w:val="0041624D"/>
    <w:rsid w:val="0042605D"/>
    <w:rsid w:val="00443F66"/>
    <w:rsid w:val="0046428E"/>
    <w:rsid w:val="0046791F"/>
    <w:rsid w:val="00485EBB"/>
    <w:rsid w:val="00494602"/>
    <w:rsid w:val="004A3C7B"/>
    <w:rsid w:val="004A5603"/>
    <w:rsid w:val="004A7E32"/>
    <w:rsid w:val="004E2D8F"/>
    <w:rsid w:val="004F170F"/>
    <w:rsid w:val="00504E8B"/>
    <w:rsid w:val="00505EED"/>
    <w:rsid w:val="0051217F"/>
    <w:rsid w:val="005223CC"/>
    <w:rsid w:val="00531003"/>
    <w:rsid w:val="0053494C"/>
    <w:rsid w:val="0056226E"/>
    <w:rsid w:val="005653A9"/>
    <w:rsid w:val="005A590E"/>
    <w:rsid w:val="005C2E6C"/>
    <w:rsid w:val="005D1430"/>
    <w:rsid w:val="005D533F"/>
    <w:rsid w:val="005D76DD"/>
    <w:rsid w:val="005E6484"/>
    <w:rsid w:val="00610F2C"/>
    <w:rsid w:val="0061115F"/>
    <w:rsid w:val="00612A7E"/>
    <w:rsid w:val="006306E3"/>
    <w:rsid w:val="00653402"/>
    <w:rsid w:val="00656142"/>
    <w:rsid w:val="00662FBB"/>
    <w:rsid w:val="00680D73"/>
    <w:rsid w:val="00687C77"/>
    <w:rsid w:val="0069091D"/>
    <w:rsid w:val="006A6F12"/>
    <w:rsid w:val="006C34DE"/>
    <w:rsid w:val="006C5DB5"/>
    <w:rsid w:val="006E715B"/>
    <w:rsid w:val="006F0553"/>
    <w:rsid w:val="00716D5F"/>
    <w:rsid w:val="00731A58"/>
    <w:rsid w:val="007748D7"/>
    <w:rsid w:val="00781A00"/>
    <w:rsid w:val="00791F39"/>
    <w:rsid w:val="00791F6D"/>
    <w:rsid w:val="00796BC9"/>
    <w:rsid w:val="00797175"/>
    <w:rsid w:val="007B4028"/>
    <w:rsid w:val="007B64BE"/>
    <w:rsid w:val="007D6F69"/>
    <w:rsid w:val="007E3F57"/>
    <w:rsid w:val="007F7752"/>
    <w:rsid w:val="00802856"/>
    <w:rsid w:val="0080515F"/>
    <w:rsid w:val="0080532F"/>
    <w:rsid w:val="0082155C"/>
    <w:rsid w:val="00826644"/>
    <w:rsid w:val="00834D5B"/>
    <w:rsid w:val="0087163F"/>
    <w:rsid w:val="00885635"/>
    <w:rsid w:val="0088632B"/>
    <w:rsid w:val="008C5A9A"/>
    <w:rsid w:val="008E05CD"/>
    <w:rsid w:val="008F55BE"/>
    <w:rsid w:val="00902D62"/>
    <w:rsid w:val="00910A7B"/>
    <w:rsid w:val="00922CE3"/>
    <w:rsid w:val="0092711E"/>
    <w:rsid w:val="00966E46"/>
    <w:rsid w:val="009931F7"/>
    <w:rsid w:val="00993D9B"/>
    <w:rsid w:val="009B7AA5"/>
    <w:rsid w:val="009D5421"/>
    <w:rsid w:val="009F43C6"/>
    <w:rsid w:val="009F671A"/>
    <w:rsid w:val="00A03B8B"/>
    <w:rsid w:val="00A05B35"/>
    <w:rsid w:val="00A067BF"/>
    <w:rsid w:val="00A213DB"/>
    <w:rsid w:val="00A25AE7"/>
    <w:rsid w:val="00A27EE6"/>
    <w:rsid w:val="00A404E6"/>
    <w:rsid w:val="00A566E8"/>
    <w:rsid w:val="00A71282"/>
    <w:rsid w:val="00A772F8"/>
    <w:rsid w:val="00A810CB"/>
    <w:rsid w:val="00AA0C60"/>
    <w:rsid w:val="00AB291D"/>
    <w:rsid w:val="00AD08CE"/>
    <w:rsid w:val="00AD1EB2"/>
    <w:rsid w:val="00AD4DFC"/>
    <w:rsid w:val="00B06B08"/>
    <w:rsid w:val="00B15F99"/>
    <w:rsid w:val="00B27925"/>
    <w:rsid w:val="00B35991"/>
    <w:rsid w:val="00B36433"/>
    <w:rsid w:val="00B53436"/>
    <w:rsid w:val="00B74659"/>
    <w:rsid w:val="00B75AD5"/>
    <w:rsid w:val="00B76345"/>
    <w:rsid w:val="00B90691"/>
    <w:rsid w:val="00BA156C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929EB"/>
    <w:rsid w:val="00CA0CB1"/>
    <w:rsid w:val="00CA159F"/>
    <w:rsid w:val="00CA66B1"/>
    <w:rsid w:val="00CC0CB7"/>
    <w:rsid w:val="00CC29EA"/>
    <w:rsid w:val="00CE5443"/>
    <w:rsid w:val="00CF548D"/>
    <w:rsid w:val="00D116B6"/>
    <w:rsid w:val="00D35E6C"/>
    <w:rsid w:val="00D44DEF"/>
    <w:rsid w:val="00D462A8"/>
    <w:rsid w:val="00D63F84"/>
    <w:rsid w:val="00D74261"/>
    <w:rsid w:val="00D93FB9"/>
    <w:rsid w:val="00D968D2"/>
    <w:rsid w:val="00D9778C"/>
    <w:rsid w:val="00DA6916"/>
    <w:rsid w:val="00DC3655"/>
    <w:rsid w:val="00DD09BD"/>
    <w:rsid w:val="00DD5074"/>
    <w:rsid w:val="00DE3CE5"/>
    <w:rsid w:val="00DF5D45"/>
    <w:rsid w:val="00E035A1"/>
    <w:rsid w:val="00E33618"/>
    <w:rsid w:val="00E42D33"/>
    <w:rsid w:val="00E44D61"/>
    <w:rsid w:val="00E478EE"/>
    <w:rsid w:val="00E60182"/>
    <w:rsid w:val="00E90F0E"/>
    <w:rsid w:val="00E96BF5"/>
    <w:rsid w:val="00EA44E2"/>
    <w:rsid w:val="00EA74F3"/>
    <w:rsid w:val="00EC5EE3"/>
    <w:rsid w:val="00ED14F9"/>
    <w:rsid w:val="00EE48EB"/>
    <w:rsid w:val="00EF2FEF"/>
    <w:rsid w:val="00EF545D"/>
    <w:rsid w:val="00F045D2"/>
    <w:rsid w:val="00F049D3"/>
    <w:rsid w:val="00F14B0B"/>
    <w:rsid w:val="00F26EC8"/>
    <w:rsid w:val="00F530B0"/>
    <w:rsid w:val="00FA4B53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E18C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18A6-B8D3-4D3C-B788-C76C2B43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6</cp:revision>
  <cp:lastPrinted>2019-11-25T08:14:00Z</cp:lastPrinted>
  <dcterms:created xsi:type="dcterms:W3CDTF">2019-11-29T11:45:00Z</dcterms:created>
  <dcterms:modified xsi:type="dcterms:W3CDTF">2019-12-03T07:15:00Z</dcterms:modified>
</cp:coreProperties>
</file>