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F904" w14:textId="77777777" w:rsidR="00CC54EB" w:rsidRDefault="00CC54EB" w:rsidP="00CC54EB">
      <w:pPr>
        <w:tabs>
          <w:tab w:val="left" w:pos="360"/>
        </w:tabs>
        <w:spacing w:before="120" w:after="240" w:line="360" w:lineRule="auto"/>
        <w:rPr>
          <w:rFonts w:ascii="Arial" w:hAnsi="Arial" w:cs="Arial"/>
        </w:rPr>
      </w:pPr>
      <w:r w:rsidRPr="00981C3D">
        <w:rPr>
          <w:b/>
          <w:noProof/>
          <w:lang w:eastAsia="pl-PL"/>
        </w:rPr>
        <w:drawing>
          <wp:inline distT="0" distB="0" distL="0" distR="0" wp14:anchorId="5F96EC3D" wp14:editId="3BF1CEAE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A7AC" w14:textId="0DAEC953" w:rsidR="007A3361" w:rsidRDefault="00CC54EB" w:rsidP="00CC54EB">
      <w:pPr>
        <w:tabs>
          <w:tab w:val="left" w:pos="360"/>
        </w:tabs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8B36AE">
        <w:rPr>
          <w:rFonts w:ascii="Arial" w:eastAsiaTheme="minorHAnsi" w:hAnsi="Arial" w:cs="Arial"/>
          <w:b/>
          <w:bCs/>
        </w:rPr>
        <w:t xml:space="preserve">Załącznik nr </w:t>
      </w:r>
      <w:r>
        <w:rPr>
          <w:rFonts w:ascii="Arial" w:eastAsiaTheme="minorHAnsi" w:hAnsi="Arial" w:cs="Arial"/>
          <w:b/>
          <w:bCs/>
        </w:rPr>
        <w:t>13</w:t>
      </w:r>
      <w:r w:rsidRPr="008B36AE">
        <w:rPr>
          <w:rFonts w:ascii="Arial" w:eastAsiaTheme="minorHAnsi" w:hAnsi="Arial" w:cs="Arial"/>
          <w:b/>
          <w:bCs/>
        </w:rPr>
        <w:t xml:space="preserve"> - </w:t>
      </w:r>
      <w:r w:rsidR="0000183B"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DA182C">
        <w:rPr>
          <w:rFonts w:ascii="Arial" w:hAnsi="Arial" w:cs="Arial"/>
          <w:b/>
          <w:sz w:val="24"/>
          <w:szCs w:val="24"/>
        </w:rPr>
        <w:t>kwalifikacji w </w:t>
      </w:r>
      <w:r w:rsidR="00396307" w:rsidRPr="00291AB0">
        <w:rPr>
          <w:rFonts w:ascii="Arial" w:hAnsi="Arial" w:cs="Arial"/>
          <w:b/>
          <w:sz w:val="24"/>
          <w:szCs w:val="24"/>
        </w:rPr>
        <w:t>ramach projektów współfinansowanych z Europejskiego Funduszu Społecznego</w:t>
      </w:r>
      <w:bookmarkStart w:id="0" w:name="_GoBack"/>
      <w:bookmarkEnd w:id="0"/>
    </w:p>
    <w:p w14:paraId="39A468C5" w14:textId="25641421" w:rsidR="007A3361" w:rsidRDefault="00040A80" w:rsidP="00917C1D">
      <w:pPr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</w:t>
      </w:r>
      <w:r w:rsidR="00917C1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>. W przypadku takich projektów EFS, wskaźnik ten jest wymagany do spełnienia i brak jego realizacji może powodować niekwalifikowalność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0B6504E4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>z 2017 r. poz. 986 z późn. zm.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kwalifikacji </w:t>
      </w:r>
      <w:r w:rsidR="00917C1D">
        <w:rPr>
          <w:rFonts w:ascii="Arial" w:hAnsi="Arial" w:cs="Arial"/>
          <w:sz w:val="20"/>
          <w:szCs w:val="20"/>
        </w:rPr>
        <w:br/>
      </w:r>
      <w:r w:rsidR="005B3C2A">
        <w:rPr>
          <w:rFonts w:ascii="Arial" w:hAnsi="Arial" w:cs="Arial"/>
          <w:sz w:val="20"/>
          <w:szCs w:val="20"/>
        </w:rPr>
        <w:t>w projektach współfinansowanych ze środków EFS.</w:t>
      </w:r>
    </w:p>
    <w:p w14:paraId="7F758712" w14:textId="306F88D2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 xml:space="preserve">jest interpretacją Ministerstwa </w:t>
      </w:r>
      <w:r w:rsidR="00BF1215">
        <w:rPr>
          <w:rFonts w:ascii="Arial" w:hAnsi="Arial" w:cs="Arial"/>
          <w:sz w:val="20"/>
          <w:szCs w:val="20"/>
        </w:rPr>
        <w:t xml:space="preserve">Inwestycji i </w:t>
      </w:r>
      <w:r w:rsidR="00361FAE">
        <w:rPr>
          <w:rFonts w:ascii="Arial" w:hAnsi="Arial" w:cs="Arial"/>
          <w:sz w:val="20"/>
          <w:szCs w:val="20"/>
        </w:rPr>
        <w:t>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3D795C92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917C1D">
        <w:rPr>
          <w:rFonts w:ascii="Arial" w:hAnsi="Arial" w:cs="Arial"/>
          <w:sz w:val="20"/>
          <w:szCs w:val="20"/>
        </w:rPr>
        <w:br/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3E11A4A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</w:t>
      </w:r>
      <w:r w:rsidR="00917C1D"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 xml:space="preserve">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1DBA6D24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</w:t>
      </w:r>
      <w:r w:rsidRPr="00DB3D7D">
        <w:rPr>
          <w:rFonts w:ascii="Arial" w:hAnsi="Arial" w:cs="Arial"/>
          <w:sz w:val="20"/>
          <w:szCs w:val="20"/>
        </w:rPr>
        <w:lastRenderedPageBreak/>
        <w:t xml:space="preserve">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</w:t>
      </w:r>
      <w:r w:rsidR="00917C1D"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917C1D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AA536CA" w14:textId="77777777" w:rsidR="00D04596" w:rsidRPr="00291AB0" w:rsidRDefault="00D04596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33DBF2" w14:textId="77777777" w:rsidR="00D04596" w:rsidRPr="00291AB0" w:rsidRDefault="00D04596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  <w:vAlign w:val="center"/>
          </w:tcPr>
          <w:p w14:paraId="7389906D" w14:textId="77777777" w:rsidR="00D04596" w:rsidRPr="00291AB0" w:rsidRDefault="00D04596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410E9E2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 xml:space="preserve">pisuje wpływ środków dezynfekujących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i antyseptycznych na drobnoustroje</w:t>
            </w:r>
          </w:p>
          <w:p w14:paraId="6C804CF7" w14:textId="47E97598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 xml:space="preserve">ykorzystuje techniki biologii molekularnej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625110AC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wyjaśnia na czym polegają zmiany na rynku pracy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>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3F9B30E" w14:textId="77777777" w:rsidR="00917C1D" w:rsidRDefault="00917C1D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56E3AB" w14:textId="77777777" w:rsidR="00917C1D" w:rsidRDefault="00917C1D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69112E" w14:textId="77777777" w:rsidR="00917C1D" w:rsidRDefault="00917C1D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C4E782" w14:textId="77777777" w:rsidR="00917C1D" w:rsidRDefault="00917C1D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lastRenderedPageBreak/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917C1D">
        <w:trPr>
          <w:trHeight w:val="665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DEB2C58" w14:textId="77777777" w:rsidR="0085640B" w:rsidRPr="00291AB0" w:rsidRDefault="0085640B" w:rsidP="00917C1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1210DE2D" w14:textId="553BDB72" w:rsidR="0085640B" w:rsidRPr="00291AB0" w:rsidRDefault="0085640B" w:rsidP="00917C1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Źródło informacji nt. kwalifikacji </w:t>
            </w:r>
            <w:r w:rsidR="00917C1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b/>
                <w:sz w:val="18"/>
                <w:szCs w:val="18"/>
              </w:rPr>
              <w:t>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C2817CA" w14:textId="77777777" w:rsidR="0085640B" w:rsidRPr="00291AB0" w:rsidRDefault="0085640B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  <w:vAlign w:val="center"/>
          </w:tcPr>
          <w:p w14:paraId="19255B64" w14:textId="77777777" w:rsidR="0085640B" w:rsidRPr="00291AB0" w:rsidRDefault="0085640B" w:rsidP="00917C1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5AF98920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Zapewnia świadczenia zastępcze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>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320E6705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Prezentuje procedury postępowania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>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38E1F856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 xml:space="preserve">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6D92EED9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Rozpoznaje lakiery stosowane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>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5000DEAC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Dobiera środki stosowane do mycia </w:t>
            </w:r>
            <w:r w:rsidR="00917C1D">
              <w:rPr>
                <w:rFonts w:ascii="Arial" w:hAnsi="Arial" w:cs="Arial"/>
                <w:sz w:val="18"/>
                <w:szCs w:val="18"/>
              </w:rPr>
              <w:br/>
            </w:r>
            <w:r w:rsidRPr="00291AB0">
              <w:rPr>
                <w:rFonts w:ascii="Arial" w:hAnsi="Arial" w:cs="Arial"/>
                <w:sz w:val="18"/>
                <w:szCs w:val="18"/>
              </w:rPr>
              <w:t>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917C1D">
      <w:pPr>
        <w:spacing w:before="360"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6E22382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lastRenderedPageBreak/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</w:t>
      </w:r>
      <w:r w:rsidR="00917C1D"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</w:t>
      </w:r>
      <w:r w:rsidR="00917C1D">
        <w:rPr>
          <w:rFonts w:ascii="Arial" w:hAnsi="Arial" w:cs="Arial"/>
          <w:sz w:val="20"/>
          <w:szCs w:val="20"/>
        </w:rPr>
        <w:br/>
      </w:r>
      <w:r w:rsidR="00E63539">
        <w:rPr>
          <w:rFonts w:ascii="Arial" w:hAnsi="Arial" w:cs="Arial"/>
          <w:sz w:val="20"/>
          <w:szCs w:val="20"/>
        </w:rPr>
        <w:t xml:space="preserve">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4DC8FE2D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 xml:space="preserve">Natomiast </w:t>
      </w:r>
      <w:r w:rsidR="00917C1D">
        <w:rPr>
          <w:rFonts w:ascii="Arial" w:hAnsi="Arial" w:cs="Arial"/>
          <w:sz w:val="20"/>
          <w:szCs w:val="20"/>
        </w:rPr>
        <w:br/>
      </w:r>
      <w:r w:rsidR="00521118" w:rsidRPr="004C70E1">
        <w:rPr>
          <w:rFonts w:ascii="Arial" w:hAnsi="Arial" w:cs="Arial"/>
          <w:sz w:val="20"/>
          <w:szCs w:val="20"/>
        </w:rPr>
        <w:t>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 xml:space="preserve">ażda instytucja będąca stroną umowy </w:t>
      </w:r>
      <w:r w:rsidR="00917C1D">
        <w:rPr>
          <w:rFonts w:ascii="Arial" w:hAnsi="Arial" w:cs="Arial"/>
          <w:sz w:val="20"/>
          <w:szCs w:val="20"/>
        </w:rPr>
        <w:br/>
      </w:r>
      <w:r w:rsidRPr="004C70E1">
        <w:rPr>
          <w:rFonts w:ascii="Arial" w:hAnsi="Arial" w:cs="Arial"/>
          <w:sz w:val="20"/>
          <w:szCs w:val="20"/>
        </w:rPr>
        <w:t>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 xml:space="preserve">, rozpoznawalności </w:t>
      </w:r>
      <w:r w:rsidR="00917C1D">
        <w:rPr>
          <w:rFonts w:ascii="Arial" w:hAnsi="Arial" w:cs="Arial"/>
          <w:sz w:val="20"/>
          <w:szCs w:val="20"/>
        </w:rPr>
        <w:br/>
      </w:r>
      <w:r w:rsidR="00521118" w:rsidRPr="004C70E1">
        <w:rPr>
          <w:rFonts w:ascii="Arial" w:hAnsi="Arial" w:cs="Arial"/>
          <w:sz w:val="20"/>
          <w:szCs w:val="20"/>
        </w:rPr>
        <w:t>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CBD37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</w:t>
      </w:r>
      <w:r w:rsidR="00917C1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56108C75" w:rsidR="00C60E30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2198 z późn. zm.),</w:t>
      </w:r>
    </w:p>
    <w:p w14:paraId="18754619" w14:textId="348425D1" w:rsidR="0074365A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2183 </w:t>
      </w:r>
      <w:r w:rsidR="00D64A76">
        <w:rPr>
          <w:rFonts w:ascii="Arial" w:hAnsi="Arial" w:cs="Arial"/>
          <w:sz w:val="20"/>
          <w:szCs w:val="20"/>
        </w:rPr>
        <w:br/>
      </w:r>
      <w:r w:rsidR="00D5730C">
        <w:rPr>
          <w:rFonts w:ascii="Arial" w:hAnsi="Arial" w:cs="Arial"/>
          <w:sz w:val="20"/>
          <w:szCs w:val="20"/>
        </w:rPr>
        <w:t>z późn. zm.</w:t>
      </w:r>
      <w:r w:rsidR="00CC66FD" w:rsidRPr="00CD7052">
        <w:rPr>
          <w:rFonts w:ascii="Arial" w:hAnsi="Arial" w:cs="Arial"/>
          <w:sz w:val="20"/>
          <w:szCs w:val="20"/>
        </w:rPr>
        <w:t>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B184DEF" w:rsidR="00370BDF" w:rsidRPr="00CD7052" w:rsidRDefault="00941BB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 xml:space="preserve">z 2017 </w:t>
      </w:r>
      <w:r w:rsidR="00D5730C" w:rsidRPr="00D5730C">
        <w:rPr>
          <w:rFonts w:ascii="Arial" w:hAnsi="Arial" w:cs="Arial"/>
          <w:sz w:val="20"/>
          <w:szCs w:val="20"/>
        </w:rPr>
        <w:t>poz. 622 z późn. zm</w:t>
      </w:r>
      <w:r w:rsidR="00CC66FD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46A9494B" w:rsidR="002C630F" w:rsidRPr="00CD7052" w:rsidRDefault="00E1250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</w:t>
      </w:r>
      <w:r w:rsidR="00D5730C" w:rsidRPr="00D5730C">
        <w:rPr>
          <w:rFonts w:ascii="Arial" w:hAnsi="Arial" w:cs="Arial"/>
          <w:sz w:val="20"/>
          <w:szCs w:val="20"/>
        </w:rPr>
        <w:t>Dz. U.</w:t>
      </w:r>
      <w:r w:rsidR="00D5730C">
        <w:rPr>
          <w:rFonts w:ascii="Arial" w:hAnsi="Arial" w:cs="Arial"/>
          <w:sz w:val="20"/>
          <w:szCs w:val="20"/>
        </w:rPr>
        <w:t xml:space="preserve"> z 2017</w:t>
      </w:r>
      <w:r w:rsidR="00D5730C" w:rsidRPr="00D5730C">
        <w:rPr>
          <w:rFonts w:ascii="Arial" w:hAnsi="Arial" w:cs="Arial"/>
          <w:sz w:val="20"/>
          <w:szCs w:val="20"/>
        </w:rPr>
        <w:t xml:space="preserve"> poz. 1632</w:t>
      </w:r>
      <w:r w:rsidR="002C630F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576A4A32" w:rsidR="002C630F" w:rsidRPr="00C60E30" w:rsidRDefault="002C630F" w:rsidP="00917C1D">
      <w:pPr>
        <w:spacing w:after="2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Uczniowie kończący naukę w zasadniczych szkołach zawodowych lub technikach przystępują </w:t>
      </w:r>
      <w:r w:rsidR="00917C1D"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</w:t>
      </w:r>
      <w:r w:rsidR="00917C1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 xml:space="preserve">o której mowa w art. </w:t>
      </w:r>
      <w:r w:rsidRPr="00E860CB">
        <w:rPr>
          <w:rFonts w:ascii="Arial" w:hAnsi="Arial" w:cs="Arial"/>
          <w:sz w:val="20"/>
          <w:szCs w:val="20"/>
        </w:rPr>
        <w:lastRenderedPageBreak/>
        <w:t>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23AD458B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 xml:space="preserve">m.in: Urząd Dozoru Technicznego, Transportowy Dozór </w:t>
      </w:r>
      <w:r w:rsidR="00690505" w:rsidRPr="00917C1D">
        <w:rPr>
          <w:rFonts w:ascii="Arial" w:hAnsi="Arial" w:cs="Arial"/>
          <w:spacing w:val="-4"/>
          <w:sz w:val="20"/>
          <w:szCs w:val="20"/>
        </w:rPr>
        <w:t>Techniczny, Instytut Spawalnictwa, Urząd Regulacji Energetyki, Instytut Mechanizacji Budownictwa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917C1D">
        <w:rPr>
          <w:rFonts w:ascii="Arial" w:hAnsi="Arial" w:cs="Arial"/>
          <w:sz w:val="20"/>
          <w:szCs w:val="20"/>
        </w:rPr>
        <w:br/>
      </w:r>
      <w:r w:rsidR="00690505">
        <w:rPr>
          <w:rFonts w:ascii="Arial" w:hAnsi="Arial" w:cs="Arial"/>
          <w:sz w:val="20"/>
          <w:szCs w:val="20"/>
        </w:rPr>
        <w:t>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917C1D">
      <w:pPr>
        <w:spacing w:before="240"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6FEAED59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</w:t>
      </w:r>
      <w:r w:rsidR="00A104FB">
        <w:rPr>
          <w:rFonts w:ascii="Arial" w:hAnsi="Arial" w:cs="Arial"/>
          <w:sz w:val="20"/>
          <w:szCs w:val="20"/>
        </w:rPr>
        <w:t>18</w:t>
      </w:r>
      <w:r w:rsidR="00CD7052" w:rsidRPr="00CD7052">
        <w:rPr>
          <w:rFonts w:ascii="Arial" w:hAnsi="Arial" w:cs="Arial"/>
          <w:sz w:val="20"/>
          <w:szCs w:val="20"/>
        </w:rPr>
        <w:t xml:space="preserve"> poz. 1</w:t>
      </w:r>
      <w:r w:rsidR="00A104FB">
        <w:rPr>
          <w:rFonts w:ascii="Arial" w:hAnsi="Arial" w:cs="Arial"/>
          <w:sz w:val="20"/>
          <w:szCs w:val="20"/>
        </w:rPr>
        <w:t>265 z późn. zm.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z pracodawcą. Ten instrument aktywizacji musi być realizowany zgodnie z programem przygotowania zawodowego obejmującym nabywanie umiejętności praktycznych i wiedzy teoretycznej oraz zakończyć się egzaminem potwierdzającym </w:t>
      </w:r>
      <w:r w:rsidRPr="00917C1D">
        <w:rPr>
          <w:rFonts w:ascii="Arial" w:hAnsi="Arial" w:cs="Arial"/>
          <w:spacing w:val="-4"/>
          <w:sz w:val="20"/>
          <w:szCs w:val="20"/>
        </w:rPr>
        <w:t>kwalifikacje w zawodzie, egzaminem czeladniczym, mistrzowskim lub egzaminem sprawdzającym.</w:t>
      </w:r>
    </w:p>
    <w:p w14:paraId="5B007D7B" w14:textId="77777777" w:rsidR="00AC0735" w:rsidRDefault="0087166C" w:rsidP="00917C1D">
      <w:pPr>
        <w:numPr>
          <w:ilvl w:val="0"/>
          <w:numId w:val="10"/>
        </w:num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917C1D">
      <w:pPr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917C1D">
      <w:pPr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(European Financial Planning Association)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 ogólnoban</w:t>
      </w:r>
      <w:r>
        <w:rPr>
          <w:rFonts w:ascii="Arial" w:hAnsi="Arial" w:cs="Arial"/>
          <w:sz w:val="20"/>
          <w:szCs w:val="20"/>
        </w:rPr>
        <w:t>kowy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917C1D">
      <w:pPr>
        <w:numPr>
          <w:ilvl w:val="0"/>
          <w:numId w:val="13"/>
        </w:num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lastRenderedPageBreak/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917C1D">
      <w:pPr>
        <w:numPr>
          <w:ilvl w:val="0"/>
          <w:numId w:val="13"/>
        </w:numPr>
        <w:spacing w:before="240"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„Common European Framework of Reference for Languages</w:t>
      </w:r>
      <w:r w:rsidR="00AF0ECF">
        <w:rPr>
          <w:rFonts w:ascii="Arial" w:hAnsi="Arial" w:cs="Arial"/>
          <w:sz w:val="20"/>
          <w:szCs w:val="20"/>
        </w:rPr>
        <w:t>: Learning, Teaching, Assessment</w:t>
      </w:r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917C1D">
      <w:pPr>
        <w:numPr>
          <w:ilvl w:val="0"/>
          <w:numId w:val="13"/>
        </w:numPr>
        <w:spacing w:before="240" w:after="120"/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917C1D">
      <w:pPr>
        <w:spacing w:before="360"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917C1D">
      <w:pPr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349B64D9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</w:t>
      </w:r>
      <w:r w:rsidR="00917C1D">
        <w:rPr>
          <w:rFonts w:ascii="Arial" w:hAnsi="Arial" w:cs="Arial"/>
          <w:b/>
          <w:sz w:val="20"/>
          <w:szCs w:val="20"/>
        </w:rPr>
        <w:br/>
      </w:r>
      <w:r w:rsidRPr="00DB3D7D">
        <w:rPr>
          <w:rFonts w:ascii="Arial" w:hAnsi="Arial" w:cs="Arial"/>
          <w:b/>
          <w:sz w:val="20"/>
          <w:szCs w:val="20"/>
        </w:rPr>
        <w:t xml:space="preserve">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 xml:space="preserve">, </w:t>
      </w:r>
      <w:r w:rsidR="00917C1D">
        <w:rPr>
          <w:rFonts w:ascii="Arial" w:hAnsi="Arial" w:cs="Arial"/>
          <w:b/>
          <w:sz w:val="20"/>
          <w:szCs w:val="20"/>
        </w:rPr>
        <w:br/>
      </w:r>
      <w:r w:rsidR="001B6DAF">
        <w:rPr>
          <w:rFonts w:ascii="Arial" w:hAnsi="Arial" w:cs="Arial"/>
          <w:b/>
          <w:sz w:val="20"/>
          <w:szCs w:val="20"/>
        </w:rPr>
        <w:t>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</w:t>
      </w:r>
      <w:r w:rsidR="00917C1D">
        <w:rPr>
          <w:rFonts w:ascii="Arial" w:hAnsi="Arial" w:cs="Arial"/>
          <w:b/>
          <w:sz w:val="20"/>
          <w:szCs w:val="20"/>
        </w:rPr>
        <w:br/>
      </w:r>
      <w:r w:rsidR="001B6DAF">
        <w:rPr>
          <w:rFonts w:ascii="Arial" w:hAnsi="Arial" w:cs="Arial"/>
          <w:b/>
          <w:sz w:val="20"/>
          <w:szCs w:val="20"/>
        </w:rPr>
        <w:t>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5685A385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917C1D">
        <w:br/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917C1D">
        <w:rPr>
          <w:rFonts w:ascii="Arial" w:hAnsi="Arial" w:cs="Arial"/>
          <w:color w:val="000000"/>
          <w:sz w:val="20"/>
          <w:szCs w:val="20"/>
        </w:rPr>
        <w:br/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05F4F8EC" w14:textId="5FDF1A21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C1D">
        <w:rPr>
          <w:rFonts w:ascii="Arial" w:hAnsi="Arial" w:cs="Arial"/>
          <w:b/>
          <w:spacing w:val="-4"/>
          <w:sz w:val="20"/>
          <w:szCs w:val="20"/>
        </w:rPr>
        <w:t xml:space="preserve">Wykazane powyżej instytucje </w:t>
      </w:r>
      <w:r w:rsidR="005B302B" w:rsidRPr="00917C1D">
        <w:rPr>
          <w:rFonts w:ascii="Arial" w:hAnsi="Arial" w:cs="Arial"/>
          <w:b/>
          <w:spacing w:val="-4"/>
          <w:sz w:val="20"/>
          <w:szCs w:val="20"/>
        </w:rPr>
        <w:t>certyfikujące</w:t>
      </w:r>
      <w:r w:rsidRPr="00917C1D">
        <w:rPr>
          <w:rFonts w:ascii="Arial" w:hAnsi="Arial" w:cs="Arial"/>
          <w:b/>
          <w:spacing w:val="-4"/>
          <w:sz w:val="20"/>
          <w:szCs w:val="20"/>
        </w:rPr>
        <w:t xml:space="preserve"> i kwalifikacje stanowią jedynie przykłady i nie należy</w:t>
      </w:r>
      <w:r w:rsidRPr="00777A6F">
        <w:rPr>
          <w:rFonts w:ascii="Arial" w:hAnsi="Arial" w:cs="Arial"/>
          <w:b/>
          <w:sz w:val="20"/>
          <w:szCs w:val="20"/>
        </w:rPr>
        <w:t xml:space="preserve">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9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69178659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 xml:space="preserve">Lista sprawdzająca do weryfikacji czy dany dokument można uznać </w:t>
      </w:r>
      <w:r w:rsidR="00917C1D">
        <w:rPr>
          <w:rFonts w:ascii="Arial" w:hAnsi="Arial" w:cs="Arial"/>
          <w:b/>
          <w:sz w:val="24"/>
          <w:szCs w:val="20"/>
        </w:rPr>
        <w:br/>
      </w:r>
      <w:r w:rsidRPr="005E0B27">
        <w:rPr>
          <w:rFonts w:ascii="Arial" w:hAnsi="Arial" w:cs="Arial"/>
          <w:b/>
          <w:sz w:val="24"/>
          <w:szCs w:val="20"/>
        </w:rPr>
        <w:t>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0F50365C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dany dokument można uznać </w:t>
            </w:r>
            <w:r w:rsidR="00917C1D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13421475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żadne z powyższych pytań nie udzielono odpowiedzi  twierdzącej, należy przejść </w:t>
            </w:r>
            <w:r w:rsidR="00917C1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lastRenderedPageBreak/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301E23CD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dokument potwierdzający uzyskanie kwalifikacji jest rozpoznawalny </w:t>
            </w:r>
            <w:r w:rsidR="00917C1D">
              <w:rPr>
                <w:rFonts w:ascii="Arial" w:hAnsi="Arial" w:cs="Arial"/>
                <w:sz w:val="20"/>
                <w:szCs w:val="20"/>
              </w:rPr>
              <w:br/>
            </w:r>
            <w:r w:rsidRPr="005E0B27">
              <w:rPr>
                <w:rFonts w:ascii="Arial" w:hAnsi="Arial" w:cs="Arial"/>
                <w:sz w:val="20"/>
                <w:szCs w:val="20"/>
              </w:rPr>
              <w:t>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39EC" w14:textId="77777777" w:rsidR="00484FC8" w:rsidRDefault="00484FC8" w:rsidP="000F2AE3">
      <w:pPr>
        <w:spacing w:after="0" w:line="240" w:lineRule="auto"/>
      </w:pPr>
      <w:r>
        <w:separator/>
      </w:r>
    </w:p>
  </w:endnote>
  <w:endnote w:type="continuationSeparator" w:id="0">
    <w:p w14:paraId="01B5888D" w14:textId="77777777" w:rsidR="00484FC8" w:rsidRDefault="00484FC8" w:rsidP="000F2AE3">
      <w:pPr>
        <w:spacing w:after="0" w:line="240" w:lineRule="auto"/>
      </w:pPr>
      <w:r>
        <w:continuationSeparator/>
      </w:r>
    </w:p>
  </w:endnote>
  <w:endnote w:type="continuationNotice" w:id="1">
    <w:p w14:paraId="4F5E01C6" w14:textId="77777777" w:rsidR="00484FC8" w:rsidRDefault="00484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C4C0" w14:textId="77777777" w:rsidR="008C58B3" w:rsidRDefault="008C5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C5ACB" w14:textId="77777777" w:rsidR="00484FC8" w:rsidRDefault="00484FC8" w:rsidP="000F2AE3">
      <w:pPr>
        <w:spacing w:after="0" w:line="240" w:lineRule="auto"/>
      </w:pPr>
      <w:r>
        <w:separator/>
      </w:r>
    </w:p>
  </w:footnote>
  <w:footnote w:type="continuationSeparator" w:id="0">
    <w:p w14:paraId="0A672DA3" w14:textId="77777777" w:rsidR="00484FC8" w:rsidRDefault="00484FC8" w:rsidP="000F2AE3">
      <w:pPr>
        <w:spacing w:after="0" w:line="240" w:lineRule="auto"/>
      </w:pPr>
      <w:r>
        <w:continuationSeparator/>
      </w:r>
    </w:p>
  </w:footnote>
  <w:footnote w:type="continuationNotice" w:id="1">
    <w:p w14:paraId="640F9370" w14:textId="77777777" w:rsidR="00484FC8" w:rsidRDefault="00484FC8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9129" w14:textId="77777777" w:rsidR="00F25FE5" w:rsidRDefault="00F25FE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80774">
      <w:rPr>
        <w:noProof/>
      </w:rPr>
      <w:t>1</w:t>
    </w:r>
    <w:r>
      <w:fldChar w:fldCharType="end"/>
    </w:r>
  </w:p>
  <w:p w14:paraId="0F7ED3E6" w14:textId="77777777" w:rsidR="00F25FE5" w:rsidRDefault="00F25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3C7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97864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4FC8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3649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34983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62A7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17C1D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04FB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1215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0DAD"/>
    <w:rsid w:val="00CC54EB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30C"/>
    <w:rsid w:val="00D578B2"/>
    <w:rsid w:val="00D610A4"/>
    <w:rsid w:val="00D61949"/>
    <w:rsid w:val="00D61F1B"/>
    <w:rsid w:val="00D64A76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774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2C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3B6F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57FF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57794B1-D285-4120-890B-C5AB2ED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8C3B-53B5-40D3-903F-C5DCEA9B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3371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23552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Grodzki</dc:creator>
  <cp:lastModifiedBy>Paweł Chmielewski</cp:lastModifiedBy>
  <cp:revision>13</cp:revision>
  <cp:lastPrinted>2016-11-10T11:44:00Z</cp:lastPrinted>
  <dcterms:created xsi:type="dcterms:W3CDTF">2018-06-12T07:30:00Z</dcterms:created>
  <dcterms:modified xsi:type="dcterms:W3CDTF">2018-08-17T12:58:00Z</dcterms:modified>
</cp:coreProperties>
</file>